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400" w:rsidRPr="0035552E" w:rsidRDefault="00BA73C1" w:rsidP="00017400">
      <w:pPr>
        <w:pStyle w:val="Heading1"/>
      </w:pPr>
      <w:bookmarkStart w:id="0" w:name="_Toc94610314"/>
      <w:bookmarkStart w:id="1" w:name="_Toc98301847"/>
      <w:r>
        <w:rPr>
          <w:noProof/>
          <w:lang w:eastAsia="en-AU"/>
        </w:rPr>
        <w:pict>
          <v:roundrect id="_x0000_s1028" style="position:absolute;margin-left:230.75pt;margin-top:.4pt;width:296.15pt;height:49.9pt;z-index:251658240;mso-position-horizontal-relative:margin;mso-width-relative:margin;mso-height-relative:margin" arcsize="10923f" fillcolor="#2c3034 [3213]" strokecolor="#3f454f [3206]">
            <v:textbox style="mso-next-textbox:#_x0000_s1028">
              <w:txbxContent>
                <w:p w:rsidR="009E2022" w:rsidRPr="00FD57F2" w:rsidRDefault="009E2022" w:rsidP="00DD782A">
                  <w:pPr>
                    <w:rPr>
                      <w:color w:val="FFFFFF" w:themeColor="background1"/>
                    </w:rPr>
                  </w:pPr>
                  <w:r w:rsidRPr="00FD57F2">
                    <w:rPr>
                      <w:color w:val="FFFFFF" w:themeColor="background1"/>
                    </w:rPr>
                    <w:t xml:space="preserve">Ensure all prompts shown in </w:t>
                  </w:r>
                  <w:r>
                    <w:rPr>
                      <w:rStyle w:val="DocumentTextGreenBold"/>
                      <w:color w:val="4CB2B3" w:themeColor="accent4"/>
                    </w:rPr>
                    <w:t>Blue</w:t>
                  </w:r>
                  <w:r w:rsidRPr="00420C67">
                    <w:rPr>
                      <w:rStyle w:val="DocumentTextGreenBold"/>
                      <w:color w:val="4CB2B3" w:themeColor="accent4"/>
                    </w:rPr>
                    <w:t xml:space="preserve"> text</w:t>
                  </w:r>
                  <w:r w:rsidRPr="00FD57F2">
                    <w:rPr>
                      <w:color w:val="FFFFFF" w:themeColor="background1"/>
                    </w:rPr>
                    <w:t xml:space="preserve"> have been responded to.</w:t>
                  </w:r>
                </w:p>
              </w:txbxContent>
            </v:textbox>
            <w10:wrap anchorx="margin"/>
          </v:roundrect>
        </w:pict>
      </w:r>
      <w:r w:rsidR="00017400" w:rsidRPr="0035552E">
        <w:t xml:space="preserve">Green Star </w:t>
      </w:r>
      <w:r w:rsidR="00DD782A">
        <w:br/>
      </w:r>
      <w:r w:rsidR="00017400">
        <w:t xml:space="preserve">Short </w:t>
      </w:r>
      <w:proofErr w:type="gramStart"/>
      <w:r w:rsidR="00017400">
        <w:t xml:space="preserve">Report </w:t>
      </w:r>
      <w:r w:rsidR="00017400" w:rsidRPr="0035552E">
        <w:t xml:space="preserve"> </w:t>
      </w:r>
      <w:proofErr w:type="gramEnd"/>
      <w:r w:rsidR="00017400">
        <w:br/>
      </w:r>
      <w:r w:rsidR="00017400" w:rsidRPr="0035552E">
        <w:t xml:space="preserve">Round </w:t>
      </w:r>
      <w:r w:rsidR="00017400" w:rsidRPr="00DD782A">
        <w:rPr>
          <w:color w:val="4CB2B3" w:themeColor="accent4"/>
        </w:rPr>
        <w:t>[1/2]</w:t>
      </w:r>
    </w:p>
    <w:p w:rsidR="00017400" w:rsidRPr="00806C48" w:rsidRDefault="00017400" w:rsidP="00017400">
      <w:pPr>
        <w:pStyle w:val="BodyText2"/>
      </w:pPr>
      <w:r w:rsidRPr="00806C48">
        <w:t xml:space="preserve">Green Star – Office Design v3 </w:t>
      </w:r>
    </w:p>
    <w:p w:rsidR="00017400" w:rsidRPr="00806C48" w:rsidRDefault="00017400" w:rsidP="00017400">
      <w:pPr>
        <w:pStyle w:val="BodyText2"/>
      </w:pPr>
      <w:r w:rsidRPr="00806C48">
        <w:t xml:space="preserve">Credit: </w:t>
      </w:r>
      <w:r w:rsidR="009E2022" w:rsidRPr="00806C48">
        <w:t>Ene-4 Lighting Zoning</w:t>
      </w:r>
      <w:r w:rsidRPr="00806C48">
        <w:t xml:space="preserve">  </w:t>
      </w:r>
    </w:p>
    <w:p w:rsidR="00017400" w:rsidRPr="00806C48" w:rsidRDefault="00017400" w:rsidP="00017400">
      <w:pPr>
        <w:pStyle w:val="BodyText2"/>
      </w:pPr>
      <w:r w:rsidRPr="00806C48">
        <w:t xml:space="preserve">Project Name: </w:t>
      </w:r>
      <w:r w:rsidRPr="00806C48">
        <w:rPr>
          <w:color w:val="4CB2B3" w:themeColor="accent4"/>
        </w:rPr>
        <w:t>[name]</w:t>
      </w:r>
    </w:p>
    <w:p w:rsidR="00017400" w:rsidRPr="00806C48" w:rsidRDefault="00017400" w:rsidP="00017400">
      <w:pPr>
        <w:pStyle w:val="BodyText2"/>
      </w:pPr>
      <w:r w:rsidRPr="00806C48">
        <w:t>Project Number: GS-</w:t>
      </w:r>
      <w:r w:rsidRPr="00806C48">
        <w:rPr>
          <w:color w:val="4CB2B3" w:themeColor="accent4"/>
        </w:rPr>
        <w:t>[####]</w:t>
      </w:r>
    </w:p>
    <w:p w:rsidR="00017400" w:rsidRPr="00F403F0" w:rsidRDefault="00017400" w:rsidP="00017400">
      <w:pPr>
        <w:pStyle w:val="BodyText2"/>
      </w:pPr>
      <w:r w:rsidRPr="00F403F0">
        <w:rPr>
          <w:rStyle w:val="Heading3Char"/>
          <w:rFonts w:eastAsia="Calibri"/>
        </w:rPr>
        <w:t>Points available</w:t>
      </w:r>
      <w:r w:rsidRPr="00F403F0">
        <w:rPr>
          <w:rFonts w:eastAsia="Calibri"/>
          <w:b w:val="0"/>
        </w:rPr>
        <w:t xml:space="preserve">: </w:t>
      </w:r>
      <w:r w:rsidRPr="00F403F0">
        <w:rPr>
          <w:rFonts w:eastAsia="Calibri"/>
          <w:b w:val="0"/>
        </w:rPr>
        <w:tab/>
      </w:r>
      <w:r w:rsidRPr="00C10858">
        <w:rPr>
          <w:rFonts w:eastAsia="Calibri"/>
        </w:rPr>
        <w:t>2</w:t>
      </w:r>
      <w:r w:rsidRPr="00F403F0">
        <w:rPr>
          <w:rFonts w:eastAsia="Calibri"/>
        </w:rPr>
        <w:tab/>
      </w:r>
      <w:r w:rsidRPr="00F403F0">
        <w:rPr>
          <w:rFonts w:eastAsia="Calibri"/>
        </w:rPr>
        <w:tab/>
      </w:r>
      <w:r w:rsidRPr="00F403F0">
        <w:rPr>
          <w:rFonts w:eastAsia="Calibri"/>
        </w:rPr>
        <w:tab/>
      </w:r>
      <w:r w:rsidRPr="00F403F0">
        <w:rPr>
          <w:rFonts w:eastAsia="Calibri"/>
        </w:rPr>
        <w:tab/>
      </w:r>
      <w:r w:rsidRPr="00F403F0">
        <w:rPr>
          <w:rFonts w:eastAsia="Calibri"/>
        </w:rPr>
        <w:tab/>
      </w:r>
      <w:r w:rsidRPr="00F403F0">
        <w:rPr>
          <w:rFonts w:eastAsia="Calibri"/>
        </w:rPr>
        <w:tab/>
      </w:r>
      <w:r w:rsidRPr="00F403F0">
        <w:rPr>
          <w:rStyle w:val="Heading3Char"/>
          <w:rFonts w:eastAsia="Calibri"/>
        </w:rPr>
        <w:t xml:space="preserve">Points claimed: </w:t>
      </w:r>
      <w:r w:rsidR="009E2022">
        <w:rPr>
          <w:rStyle w:val="Heading3Char"/>
          <w:rFonts w:eastAsia="Calibri"/>
          <w:color w:val="4CB2B3" w:themeColor="accent4"/>
          <w:sz w:val="22"/>
        </w:rPr>
        <w:t>[1 or</w:t>
      </w:r>
      <w:r w:rsidRPr="00C10858">
        <w:rPr>
          <w:rStyle w:val="Heading3Char"/>
          <w:rFonts w:eastAsia="Calibri"/>
          <w:color w:val="4CB2B3" w:themeColor="accent4"/>
          <w:sz w:val="22"/>
        </w:rPr>
        <w:t xml:space="preserve"> 2]</w:t>
      </w:r>
    </w:p>
    <w:p w:rsidR="00017400" w:rsidRDefault="00017400" w:rsidP="009E2022">
      <w:pPr>
        <w:pStyle w:val="Numberedheading"/>
      </w:pPr>
      <w:r>
        <w:t xml:space="preserve"> </w:t>
      </w:r>
      <w:r w:rsidR="009E2022">
        <w:t>Zones and Switching</w:t>
      </w:r>
      <w:r>
        <w:t xml:space="preserve"> </w:t>
      </w:r>
    </w:p>
    <w:p w:rsidR="009E2022" w:rsidRPr="009E2022" w:rsidRDefault="009E2022" w:rsidP="009E2022">
      <w:pPr>
        <w:pStyle w:val="HeadingSimilarStyle"/>
        <w:rPr>
          <w:rStyle w:val="DocumentTextbody"/>
        </w:rPr>
      </w:pPr>
      <w:r w:rsidRPr="009E2022">
        <w:rPr>
          <w:rStyle w:val="DocumentTextbody"/>
        </w:rPr>
        <w:t>Zone Areas</w:t>
      </w:r>
    </w:p>
    <w:p w:rsidR="009E2022" w:rsidRDefault="009E2022" w:rsidP="009E2022">
      <w:r w:rsidRPr="00803F1E">
        <w:t>The</w:t>
      </w:r>
      <w:r>
        <w:t xml:space="preserve"> project provides individually switched lighting zones for all individual or enclosed spaces not exceeding 100m</w:t>
      </w:r>
      <w:r>
        <w:rPr>
          <w:vertAlign w:val="superscript"/>
        </w:rPr>
        <w:t xml:space="preserve">2 </w:t>
      </w:r>
      <w:r>
        <w:t>for 95% of NLA. Switching is clearly labelled and easily accessible by building occupants.</w:t>
      </w:r>
    </w:p>
    <w:p w:rsidR="00806C48" w:rsidRPr="00806C48" w:rsidRDefault="00806C48" w:rsidP="00806C48">
      <w:pPr>
        <w:pStyle w:val="Caption"/>
        <w:rPr>
          <w:sz w:val="22"/>
          <w:szCs w:val="22"/>
        </w:rPr>
      </w:pPr>
      <w:r w:rsidRPr="00806C48">
        <w:rPr>
          <w:sz w:val="22"/>
          <w:szCs w:val="22"/>
        </w:rPr>
        <w:t xml:space="preserve">Table </w:t>
      </w:r>
      <w:r w:rsidRPr="00806C48">
        <w:rPr>
          <w:sz w:val="22"/>
          <w:szCs w:val="22"/>
        </w:rPr>
        <w:fldChar w:fldCharType="begin"/>
      </w:r>
      <w:r w:rsidRPr="00806C48">
        <w:rPr>
          <w:sz w:val="22"/>
          <w:szCs w:val="22"/>
        </w:rPr>
        <w:instrText xml:space="preserve"> SEQ Table \* ARABIC </w:instrText>
      </w:r>
      <w:r w:rsidRPr="00806C48"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1</w:t>
      </w:r>
      <w:r w:rsidRPr="00806C48">
        <w:rPr>
          <w:sz w:val="22"/>
          <w:szCs w:val="22"/>
        </w:rPr>
        <w:fldChar w:fldCharType="end"/>
      </w:r>
      <w:r w:rsidRPr="00806C48">
        <w:rPr>
          <w:sz w:val="22"/>
          <w:szCs w:val="22"/>
        </w:rPr>
        <w:t xml:space="preserve"> Individual Lighting Control Zones</w:t>
      </w:r>
    </w:p>
    <w:tbl>
      <w:tblPr>
        <w:tblStyle w:val="TableGrid"/>
        <w:tblW w:w="10546" w:type="dxa"/>
        <w:tblLook w:val="04A0"/>
      </w:tblPr>
      <w:tblGrid>
        <w:gridCol w:w="1906"/>
        <w:gridCol w:w="2071"/>
        <w:gridCol w:w="2277"/>
        <w:gridCol w:w="2190"/>
        <w:gridCol w:w="2102"/>
      </w:tblGrid>
      <w:tr w:rsidR="009E2022" w:rsidTr="009E2022">
        <w:trPr>
          <w:cnfStyle w:val="100000000000"/>
        </w:trPr>
        <w:tc>
          <w:tcPr>
            <w:cnfStyle w:val="001000000000"/>
            <w:tcW w:w="1906" w:type="dxa"/>
          </w:tcPr>
          <w:p w:rsidR="009E2022" w:rsidRPr="00806C48" w:rsidRDefault="009E2022" w:rsidP="009E2022">
            <w:pPr>
              <w:pStyle w:val="ListParagraph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 w:rsidRPr="00806C48">
              <w:rPr>
                <w:sz w:val="22"/>
                <w:szCs w:val="22"/>
              </w:rPr>
              <w:t>Floor</w:t>
            </w:r>
          </w:p>
        </w:tc>
        <w:tc>
          <w:tcPr>
            <w:tcW w:w="2071" w:type="dxa"/>
          </w:tcPr>
          <w:p w:rsidR="009E2022" w:rsidRPr="00806C48" w:rsidRDefault="009E2022" w:rsidP="009E2022">
            <w:pPr>
              <w:pStyle w:val="ListParagraph"/>
              <w:numPr>
                <w:ilvl w:val="0"/>
                <w:numId w:val="0"/>
              </w:numPr>
              <w:jc w:val="center"/>
              <w:cnfStyle w:val="100000000000"/>
              <w:rPr>
                <w:b w:val="0"/>
                <w:sz w:val="22"/>
                <w:szCs w:val="22"/>
              </w:rPr>
            </w:pPr>
            <w:r w:rsidRPr="00806C48">
              <w:rPr>
                <w:sz w:val="22"/>
                <w:szCs w:val="22"/>
              </w:rPr>
              <w:t>Zone Reference</w:t>
            </w:r>
          </w:p>
        </w:tc>
        <w:tc>
          <w:tcPr>
            <w:tcW w:w="2277" w:type="dxa"/>
          </w:tcPr>
          <w:p w:rsidR="009E2022" w:rsidRPr="00806C48" w:rsidRDefault="009E2022" w:rsidP="009E2022">
            <w:pPr>
              <w:pStyle w:val="ListParagraph"/>
              <w:numPr>
                <w:ilvl w:val="0"/>
                <w:numId w:val="0"/>
              </w:numPr>
              <w:jc w:val="center"/>
              <w:cnfStyle w:val="100000000000"/>
              <w:rPr>
                <w:b w:val="0"/>
                <w:sz w:val="22"/>
                <w:szCs w:val="22"/>
              </w:rPr>
            </w:pPr>
            <w:r w:rsidRPr="00806C48">
              <w:rPr>
                <w:sz w:val="22"/>
                <w:szCs w:val="22"/>
              </w:rPr>
              <w:t>Zone Area (m</w:t>
            </w:r>
            <w:r w:rsidRPr="00806C48">
              <w:rPr>
                <w:sz w:val="22"/>
                <w:szCs w:val="22"/>
                <w:vertAlign w:val="superscript"/>
              </w:rPr>
              <w:t>2</w:t>
            </w:r>
            <w:r w:rsidRPr="00806C48">
              <w:rPr>
                <w:sz w:val="22"/>
                <w:szCs w:val="22"/>
              </w:rPr>
              <w:t>)</w:t>
            </w:r>
          </w:p>
        </w:tc>
        <w:tc>
          <w:tcPr>
            <w:tcW w:w="2190" w:type="dxa"/>
          </w:tcPr>
          <w:p w:rsidR="009E2022" w:rsidRPr="00806C48" w:rsidRDefault="009E2022" w:rsidP="009E2022">
            <w:pPr>
              <w:pStyle w:val="ListParagraph"/>
              <w:numPr>
                <w:ilvl w:val="0"/>
                <w:numId w:val="0"/>
              </w:numPr>
              <w:jc w:val="center"/>
              <w:cnfStyle w:val="100000000000"/>
              <w:rPr>
                <w:b w:val="0"/>
                <w:sz w:val="22"/>
                <w:szCs w:val="22"/>
                <w:vertAlign w:val="superscript"/>
              </w:rPr>
            </w:pPr>
            <w:r w:rsidRPr="00806C48">
              <w:rPr>
                <w:sz w:val="22"/>
                <w:szCs w:val="22"/>
              </w:rPr>
              <w:t>&lt;100 m</w:t>
            </w:r>
            <w:r w:rsidRPr="00806C48">
              <w:rPr>
                <w:sz w:val="22"/>
                <w:szCs w:val="22"/>
                <w:vertAlign w:val="superscript"/>
              </w:rPr>
              <w:t>2?</w:t>
            </w:r>
          </w:p>
          <w:p w:rsidR="009E2022" w:rsidRPr="00806C48" w:rsidRDefault="009E2022" w:rsidP="009E2022">
            <w:pPr>
              <w:pStyle w:val="ListParagraph"/>
              <w:numPr>
                <w:ilvl w:val="0"/>
                <w:numId w:val="0"/>
              </w:numPr>
              <w:jc w:val="center"/>
              <w:cnfStyle w:val="100000000000"/>
              <w:rPr>
                <w:b w:val="0"/>
                <w:sz w:val="22"/>
                <w:szCs w:val="22"/>
              </w:rPr>
            </w:pPr>
            <w:r w:rsidRPr="00806C48">
              <w:rPr>
                <w:sz w:val="22"/>
                <w:szCs w:val="22"/>
              </w:rPr>
              <w:t>Y/N</w:t>
            </w:r>
          </w:p>
        </w:tc>
        <w:tc>
          <w:tcPr>
            <w:tcW w:w="2102" w:type="dxa"/>
          </w:tcPr>
          <w:p w:rsidR="009E2022" w:rsidRPr="00806C48" w:rsidRDefault="009E2022" w:rsidP="009E2022">
            <w:pPr>
              <w:pStyle w:val="ListParagraph"/>
              <w:numPr>
                <w:ilvl w:val="0"/>
                <w:numId w:val="0"/>
              </w:numPr>
              <w:jc w:val="center"/>
              <w:cnfStyle w:val="100000000000"/>
              <w:rPr>
                <w:b w:val="0"/>
                <w:sz w:val="22"/>
                <w:szCs w:val="22"/>
              </w:rPr>
            </w:pPr>
            <w:r w:rsidRPr="00806C48">
              <w:rPr>
                <w:sz w:val="22"/>
                <w:szCs w:val="22"/>
              </w:rPr>
              <w:t>Switch Description</w:t>
            </w:r>
          </w:p>
        </w:tc>
      </w:tr>
      <w:tr w:rsidR="009E2022" w:rsidTr="009E2022">
        <w:trPr>
          <w:cnfStyle w:val="000000100000"/>
        </w:trPr>
        <w:tc>
          <w:tcPr>
            <w:cnfStyle w:val="001000000000"/>
            <w:tcW w:w="1906" w:type="dxa"/>
          </w:tcPr>
          <w:p w:rsidR="009E2022" w:rsidRDefault="009E2022" w:rsidP="009E2022">
            <w:pPr>
              <w:pStyle w:val="ListParagraph"/>
              <w:numPr>
                <w:ilvl w:val="0"/>
                <w:numId w:val="0"/>
              </w:numPr>
              <w:jc w:val="center"/>
            </w:pPr>
          </w:p>
        </w:tc>
        <w:tc>
          <w:tcPr>
            <w:tcW w:w="2071" w:type="dxa"/>
          </w:tcPr>
          <w:p w:rsidR="009E2022" w:rsidRPr="00366FC0" w:rsidRDefault="009E2022" w:rsidP="009E2022">
            <w:pPr>
              <w:pStyle w:val="ListParagraph"/>
              <w:numPr>
                <w:ilvl w:val="0"/>
                <w:numId w:val="0"/>
              </w:numPr>
              <w:jc w:val="center"/>
              <w:cnfStyle w:val="000000100000"/>
              <w:rPr>
                <w:color w:val="4CB2B3" w:themeColor="accent4"/>
              </w:rPr>
            </w:pPr>
          </w:p>
        </w:tc>
        <w:tc>
          <w:tcPr>
            <w:tcW w:w="2277" w:type="dxa"/>
          </w:tcPr>
          <w:p w:rsidR="009E2022" w:rsidRPr="00366FC0" w:rsidRDefault="009E2022" w:rsidP="009E2022">
            <w:pPr>
              <w:pStyle w:val="ListParagraph"/>
              <w:numPr>
                <w:ilvl w:val="0"/>
                <w:numId w:val="0"/>
              </w:numPr>
              <w:jc w:val="center"/>
              <w:cnfStyle w:val="000000100000"/>
              <w:rPr>
                <w:color w:val="4CB2B3" w:themeColor="accent4"/>
              </w:rPr>
            </w:pPr>
          </w:p>
        </w:tc>
        <w:tc>
          <w:tcPr>
            <w:tcW w:w="2190" w:type="dxa"/>
          </w:tcPr>
          <w:p w:rsidR="009E2022" w:rsidRPr="00366FC0" w:rsidRDefault="009E2022" w:rsidP="009E2022">
            <w:pPr>
              <w:pStyle w:val="ListParagraph"/>
              <w:numPr>
                <w:ilvl w:val="0"/>
                <w:numId w:val="0"/>
              </w:numPr>
              <w:jc w:val="center"/>
              <w:cnfStyle w:val="000000100000"/>
              <w:rPr>
                <w:color w:val="4CB2B3" w:themeColor="accent4"/>
              </w:rPr>
            </w:pPr>
          </w:p>
        </w:tc>
        <w:tc>
          <w:tcPr>
            <w:tcW w:w="2102" w:type="dxa"/>
          </w:tcPr>
          <w:p w:rsidR="009E2022" w:rsidRPr="00366FC0" w:rsidRDefault="009E2022" w:rsidP="009E2022">
            <w:pPr>
              <w:pStyle w:val="ListParagraph"/>
              <w:numPr>
                <w:ilvl w:val="0"/>
                <w:numId w:val="0"/>
              </w:numPr>
              <w:jc w:val="center"/>
              <w:cnfStyle w:val="000000100000"/>
              <w:rPr>
                <w:color w:val="4CB2B3" w:themeColor="accent4"/>
              </w:rPr>
            </w:pPr>
          </w:p>
        </w:tc>
      </w:tr>
      <w:tr w:rsidR="009E2022" w:rsidTr="009E2022">
        <w:tc>
          <w:tcPr>
            <w:cnfStyle w:val="001000000000"/>
            <w:tcW w:w="1906" w:type="dxa"/>
          </w:tcPr>
          <w:p w:rsidR="009E2022" w:rsidRDefault="009E2022" w:rsidP="009E2022">
            <w:pPr>
              <w:pStyle w:val="ListParagraph"/>
              <w:numPr>
                <w:ilvl w:val="0"/>
                <w:numId w:val="0"/>
              </w:numPr>
              <w:jc w:val="center"/>
            </w:pPr>
          </w:p>
        </w:tc>
        <w:tc>
          <w:tcPr>
            <w:tcW w:w="2071" w:type="dxa"/>
          </w:tcPr>
          <w:p w:rsidR="009E2022" w:rsidRPr="00366FC0" w:rsidRDefault="009E2022" w:rsidP="009E2022">
            <w:pPr>
              <w:pStyle w:val="ListParagraph"/>
              <w:numPr>
                <w:ilvl w:val="0"/>
                <w:numId w:val="0"/>
              </w:numPr>
              <w:jc w:val="center"/>
              <w:cnfStyle w:val="000000000000"/>
              <w:rPr>
                <w:color w:val="4CB2B3" w:themeColor="accent4"/>
              </w:rPr>
            </w:pPr>
          </w:p>
        </w:tc>
        <w:tc>
          <w:tcPr>
            <w:tcW w:w="2277" w:type="dxa"/>
          </w:tcPr>
          <w:p w:rsidR="009E2022" w:rsidRPr="00366FC0" w:rsidRDefault="009E2022" w:rsidP="009E2022">
            <w:pPr>
              <w:pStyle w:val="ListParagraph"/>
              <w:numPr>
                <w:ilvl w:val="0"/>
                <w:numId w:val="0"/>
              </w:numPr>
              <w:jc w:val="center"/>
              <w:cnfStyle w:val="000000000000"/>
              <w:rPr>
                <w:color w:val="4CB2B3" w:themeColor="accent4"/>
              </w:rPr>
            </w:pPr>
          </w:p>
        </w:tc>
        <w:tc>
          <w:tcPr>
            <w:tcW w:w="2190" w:type="dxa"/>
          </w:tcPr>
          <w:p w:rsidR="009E2022" w:rsidRPr="00366FC0" w:rsidRDefault="009E2022" w:rsidP="009E2022">
            <w:pPr>
              <w:pStyle w:val="ListParagraph"/>
              <w:numPr>
                <w:ilvl w:val="0"/>
                <w:numId w:val="0"/>
              </w:numPr>
              <w:jc w:val="center"/>
              <w:cnfStyle w:val="000000000000"/>
              <w:rPr>
                <w:color w:val="4CB2B3" w:themeColor="accent4"/>
              </w:rPr>
            </w:pPr>
          </w:p>
        </w:tc>
        <w:tc>
          <w:tcPr>
            <w:tcW w:w="2102" w:type="dxa"/>
          </w:tcPr>
          <w:p w:rsidR="009E2022" w:rsidRPr="00366FC0" w:rsidRDefault="009E2022" w:rsidP="009E2022">
            <w:pPr>
              <w:pStyle w:val="ListParagraph"/>
              <w:numPr>
                <w:ilvl w:val="0"/>
                <w:numId w:val="0"/>
              </w:numPr>
              <w:jc w:val="center"/>
              <w:cnfStyle w:val="000000000000"/>
              <w:rPr>
                <w:color w:val="4CB2B3" w:themeColor="accent4"/>
              </w:rPr>
            </w:pPr>
          </w:p>
        </w:tc>
      </w:tr>
      <w:tr w:rsidR="009E2022" w:rsidTr="009E2022">
        <w:trPr>
          <w:cnfStyle w:val="000000100000"/>
        </w:trPr>
        <w:tc>
          <w:tcPr>
            <w:cnfStyle w:val="001000000000"/>
            <w:tcW w:w="1906" w:type="dxa"/>
          </w:tcPr>
          <w:p w:rsidR="009E2022" w:rsidRDefault="009E2022" w:rsidP="009E2022">
            <w:pPr>
              <w:pStyle w:val="ListParagraph"/>
              <w:numPr>
                <w:ilvl w:val="0"/>
                <w:numId w:val="0"/>
              </w:numPr>
              <w:jc w:val="center"/>
            </w:pPr>
          </w:p>
        </w:tc>
        <w:tc>
          <w:tcPr>
            <w:tcW w:w="2071" w:type="dxa"/>
          </w:tcPr>
          <w:p w:rsidR="009E2022" w:rsidRPr="00366FC0" w:rsidRDefault="009E2022" w:rsidP="009E2022">
            <w:pPr>
              <w:pStyle w:val="ListParagraph"/>
              <w:numPr>
                <w:ilvl w:val="0"/>
                <w:numId w:val="0"/>
              </w:numPr>
              <w:jc w:val="center"/>
              <w:cnfStyle w:val="000000100000"/>
              <w:rPr>
                <w:color w:val="4CB2B3" w:themeColor="accent4"/>
              </w:rPr>
            </w:pPr>
          </w:p>
        </w:tc>
        <w:tc>
          <w:tcPr>
            <w:tcW w:w="2277" w:type="dxa"/>
          </w:tcPr>
          <w:p w:rsidR="009E2022" w:rsidRPr="00366FC0" w:rsidRDefault="009E2022" w:rsidP="009E2022">
            <w:pPr>
              <w:pStyle w:val="ListParagraph"/>
              <w:numPr>
                <w:ilvl w:val="0"/>
                <w:numId w:val="0"/>
              </w:numPr>
              <w:jc w:val="center"/>
              <w:cnfStyle w:val="000000100000"/>
              <w:rPr>
                <w:color w:val="4CB2B3" w:themeColor="accent4"/>
              </w:rPr>
            </w:pPr>
          </w:p>
        </w:tc>
        <w:tc>
          <w:tcPr>
            <w:tcW w:w="2190" w:type="dxa"/>
          </w:tcPr>
          <w:p w:rsidR="009E2022" w:rsidRPr="00366FC0" w:rsidRDefault="009E2022" w:rsidP="009E2022">
            <w:pPr>
              <w:pStyle w:val="ListParagraph"/>
              <w:numPr>
                <w:ilvl w:val="0"/>
                <w:numId w:val="0"/>
              </w:numPr>
              <w:jc w:val="center"/>
              <w:cnfStyle w:val="000000100000"/>
              <w:rPr>
                <w:color w:val="4CB2B3" w:themeColor="accent4"/>
              </w:rPr>
            </w:pPr>
          </w:p>
        </w:tc>
        <w:tc>
          <w:tcPr>
            <w:tcW w:w="2102" w:type="dxa"/>
          </w:tcPr>
          <w:p w:rsidR="009E2022" w:rsidRPr="00366FC0" w:rsidRDefault="009E2022" w:rsidP="009E2022">
            <w:pPr>
              <w:pStyle w:val="ListParagraph"/>
              <w:numPr>
                <w:ilvl w:val="0"/>
                <w:numId w:val="0"/>
              </w:numPr>
              <w:jc w:val="center"/>
              <w:cnfStyle w:val="000000100000"/>
              <w:rPr>
                <w:color w:val="4CB2B3" w:themeColor="accent4"/>
              </w:rPr>
            </w:pPr>
          </w:p>
        </w:tc>
      </w:tr>
      <w:tr w:rsidR="009E2022" w:rsidTr="009E2022">
        <w:tc>
          <w:tcPr>
            <w:cnfStyle w:val="001000000000"/>
            <w:tcW w:w="1906" w:type="dxa"/>
          </w:tcPr>
          <w:p w:rsidR="009E2022" w:rsidRDefault="009E2022" w:rsidP="009E2022">
            <w:pPr>
              <w:pStyle w:val="ListParagraph"/>
              <w:numPr>
                <w:ilvl w:val="0"/>
                <w:numId w:val="0"/>
              </w:numPr>
              <w:jc w:val="center"/>
            </w:pPr>
          </w:p>
        </w:tc>
        <w:tc>
          <w:tcPr>
            <w:tcW w:w="2071" w:type="dxa"/>
          </w:tcPr>
          <w:p w:rsidR="009E2022" w:rsidRPr="00366FC0" w:rsidRDefault="009E2022" w:rsidP="009E2022">
            <w:pPr>
              <w:pStyle w:val="ListParagraph"/>
              <w:numPr>
                <w:ilvl w:val="0"/>
                <w:numId w:val="0"/>
              </w:numPr>
              <w:jc w:val="center"/>
              <w:cnfStyle w:val="000000000000"/>
              <w:rPr>
                <w:color w:val="4CB2B3" w:themeColor="accent4"/>
              </w:rPr>
            </w:pPr>
          </w:p>
        </w:tc>
        <w:tc>
          <w:tcPr>
            <w:tcW w:w="2277" w:type="dxa"/>
          </w:tcPr>
          <w:p w:rsidR="009E2022" w:rsidRPr="00366FC0" w:rsidRDefault="009E2022" w:rsidP="009E2022">
            <w:pPr>
              <w:pStyle w:val="ListParagraph"/>
              <w:numPr>
                <w:ilvl w:val="0"/>
                <w:numId w:val="0"/>
              </w:numPr>
              <w:jc w:val="center"/>
              <w:cnfStyle w:val="000000000000"/>
              <w:rPr>
                <w:color w:val="4CB2B3" w:themeColor="accent4"/>
              </w:rPr>
            </w:pPr>
          </w:p>
        </w:tc>
        <w:tc>
          <w:tcPr>
            <w:tcW w:w="2190" w:type="dxa"/>
          </w:tcPr>
          <w:p w:rsidR="009E2022" w:rsidRPr="00366FC0" w:rsidRDefault="009E2022" w:rsidP="009E2022">
            <w:pPr>
              <w:pStyle w:val="ListParagraph"/>
              <w:numPr>
                <w:ilvl w:val="0"/>
                <w:numId w:val="0"/>
              </w:numPr>
              <w:jc w:val="center"/>
              <w:cnfStyle w:val="000000000000"/>
              <w:rPr>
                <w:color w:val="4CB2B3" w:themeColor="accent4"/>
              </w:rPr>
            </w:pPr>
          </w:p>
        </w:tc>
        <w:tc>
          <w:tcPr>
            <w:tcW w:w="2102" w:type="dxa"/>
          </w:tcPr>
          <w:p w:rsidR="009E2022" w:rsidRPr="00366FC0" w:rsidRDefault="009E2022" w:rsidP="009E2022">
            <w:pPr>
              <w:pStyle w:val="ListParagraph"/>
              <w:numPr>
                <w:ilvl w:val="0"/>
                <w:numId w:val="0"/>
              </w:numPr>
              <w:jc w:val="center"/>
              <w:cnfStyle w:val="000000000000"/>
              <w:rPr>
                <w:color w:val="4CB2B3" w:themeColor="accent4"/>
              </w:rPr>
            </w:pPr>
          </w:p>
        </w:tc>
      </w:tr>
      <w:tr w:rsidR="009E2022" w:rsidTr="009E2022">
        <w:trPr>
          <w:cnfStyle w:val="000000100000"/>
        </w:trPr>
        <w:tc>
          <w:tcPr>
            <w:cnfStyle w:val="001000000000"/>
            <w:tcW w:w="1906" w:type="dxa"/>
          </w:tcPr>
          <w:p w:rsidR="009E2022" w:rsidRDefault="009E2022" w:rsidP="009E2022">
            <w:pPr>
              <w:pStyle w:val="ListParagraph"/>
              <w:numPr>
                <w:ilvl w:val="0"/>
                <w:numId w:val="0"/>
              </w:numPr>
              <w:jc w:val="center"/>
            </w:pPr>
          </w:p>
        </w:tc>
        <w:tc>
          <w:tcPr>
            <w:tcW w:w="2071" w:type="dxa"/>
          </w:tcPr>
          <w:p w:rsidR="009E2022" w:rsidRPr="00366FC0" w:rsidRDefault="009E2022" w:rsidP="009E2022">
            <w:pPr>
              <w:pStyle w:val="ListParagraph"/>
              <w:numPr>
                <w:ilvl w:val="0"/>
                <w:numId w:val="0"/>
              </w:numPr>
              <w:jc w:val="center"/>
              <w:cnfStyle w:val="000000100000"/>
              <w:rPr>
                <w:color w:val="4CB2B3" w:themeColor="accent4"/>
              </w:rPr>
            </w:pPr>
          </w:p>
        </w:tc>
        <w:tc>
          <w:tcPr>
            <w:tcW w:w="2277" w:type="dxa"/>
          </w:tcPr>
          <w:p w:rsidR="009E2022" w:rsidRPr="00366FC0" w:rsidRDefault="009E2022" w:rsidP="009E2022">
            <w:pPr>
              <w:pStyle w:val="ListParagraph"/>
              <w:numPr>
                <w:ilvl w:val="0"/>
                <w:numId w:val="0"/>
              </w:numPr>
              <w:jc w:val="center"/>
              <w:cnfStyle w:val="000000100000"/>
              <w:rPr>
                <w:color w:val="4CB2B3" w:themeColor="accent4"/>
              </w:rPr>
            </w:pPr>
          </w:p>
        </w:tc>
        <w:tc>
          <w:tcPr>
            <w:tcW w:w="2190" w:type="dxa"/>
          </w:tcPr>
          <w:p w:rsidR="009E2022" w:rsidRPr="00366FC0" w:rsidRDefault="009E2022" w:rsidP="009E2022">
            <w:pPr>
              <w:pStyle w:val="ListParagraph"/>
              <w:numPr>
                <w:ilvl w:val="0"/>
                <w:numId w:val="0"/>
              </w:numPr>
              <w:jc w:val="center"/>
              <w:cnfStyle w:val="000000100000"/>
              <w:rPr>
                <w:color w:val="4CB2B3" w:themeColor="accent4"/>
              </w:rPr>
            </w:pPr>
          </w:p>
        </w:tc>
        <w:tc>
          <w:tcPr>
            <w:tcW w:w="2102" w:type="dxa"/>
          </w:tcPr>
          <w:p w:rsidR="009E2022" w:rsidRPr="00366FC0" w:rsidRDefault="009E2022" w:rsidP="009E2022">
            <w:pPr>
              <w:pStyle w:val="ListParagraph"/>
              <w:numPr>
                <w:ilvl w:val="0"/>
                <w:numId w:val="0"/>
              </w:numPr>
              <w:jc w:val="center"/>
              <w:cnfStyle w:val="000000100000"/>
              <w:rPr>
                <w:color w:val="4CB2B3" w:themeColor="accent4"/>
              </w:rPr>
            </w:pPr>
          </w:p>
        </w:tc>
      </w:tr>
      <w:tr w:rsidR="009E2022" w:rsidTr="009E2022">
        <w:tc>
          <w:tcPr>
            <w:cnfStyle w:val="001000000000"/>
            <w:tcW w:w="1906" w:type="dxa"/>
          </w:tcPr>
          <w:p w:rsidR="009E2022" w:rsidRDefault="009E2022" w:rsidP="009E2022">
            <w:pPr>
              <w:pStyle w:val="ListParagraph"/>
              <w:numPr>
                <w:ilvl w:val="0"/>
                <w:numId w:val="0"/>
              </w:numPr>
              <w:jc w:val="center"/>
            </w:pPr>
          </w:p>
        </w:tc>
        <w:tc>
          <w:tcPr>
            <w:tcW w:w="2071" w:type="dxa"/>
          </w:tcPr>
          <w:p w:rsidR="009E2022" w:rsidRPr="00366FC0" w:rsidRDefault="009E2022" w:rsidP="009E2022">
            <w:pPr>
              <w:pStyle w:val="ListParagraph"/>
              <w:numPr>
                <w:ilvl w:val="0"/>
                <w:numId w:val="0"/>
              </w:numPr>
              <w:jc w:val="center"/>
              <w:cnfStyle w:val="000000000000"/>
              <w:rPr>
                <w:color w:val="4CB2B3" w:themeColor="accent4"/>
              </w:rPr>
            </w:pPr>
          </w:p>
        </w:tc>
        <w:tc>
          <w:tcPr>
            <w:tcW w:w="2277" w:type="dxa"/>
          </w:tcPr>
          <w:p w:rsidR="009E2022" w:rsidRPr="00366FC0" w:rsidRDefault="009E2022" w:rsidP="009E2022">
            <w:pPr>
              <w:pStyle w:val="ListParagraph"/>
              <w:numPr>
                <w:ilvl w:val="0"/>
                <w:numId w:val="0"/>
              </w:numPr>
              <w:jc w:val="center"/>
              <w:cnfStyle w:val="000000000000"/>
              <w:rPr>
                <w:color w:val="4CB2B3" w:themeColor="accent4"/>
              </w:rPr>
            </w:pPr>
          </w:p>
        </w:tc>
        <w:tc>
          <w:tcPr>
            <w:tcW w:w="2190" w:type="dxa"/>
          </w:tcPr>
          <w:p w:rsidR="009E2022" w:rsidRPr="00366FC0" w:rsidRDefault="009E2022" w:rsidP="009E2022">
            <w:pPr>
              <w:pStyle w:val="ListParagraph"/>
              <w:numPr>
                <w:ilvl w:val="0"/>
                <w:numId w:val="0"/>
              </w:numPr>
              <w:jc w:val="center"/>
              <w:cnfStyle w:val="000000000000"/>
              <w:rPr>
                <w:color w:val="4CB2B3" w:themeColor="accent4"/>
              </w:rPr>
            </w:pPr>
          </w:p>
        </w:tc>
        <w:tc>
          <w:tcPr>
            <w:tcW w:w="2102" w:type="dxa"/>
          </w:tcPr>
          <w:p w:rsidR="009E2022" w:rsidRPr="00366FC0" w:rsidRDefault="009E2022" w:rsidP="009E2022">
            <w:pPr>
              <w:pStyle w:val="ListParagraph"/>
              <w:numPr>
                <w:ilvl w:val="0"/>
                <w:numId w:val="0"/>
              </w:numPr>
              <w:jc w:val="center"/>
              <w:cnfStyle w:val="000000000000"/>
              <w:rPr>
                <w:color w:val="4CB2B3" w:themeColor="accent4"/>
              </w:rPr>
            </w:pPr>
          </w:p>
        </w:tc>
      </w:tr>
    </w:tbl>
    <w:p w:rsidR="009E2022" w:rsidRDefault="009E2022" w:rsidP="00C10858">
      <w:pPr>
        <w:pStyle w:val="Bluetext"/>
      </w:pPr>
    </w:p>
    <w:p w:rsidR="00017400" w:rsidRPr="00391850" w:rsidRDefault="009E2022" w:rsidP="00C10858">
      <w:pPr>
        <w:pStyle w:val="Bluetext"/>
      </w:pPr>
      <w:r w:rsidRPr="00391850">
        <w:t xml:space="preserve"> </w:t>
      </w:r>
      <w:r w:rsidR="00017400" w:rsidRPr="00391850">
        <w:t>[Insert hyperlinks to documents which support these claims]</w:t>
      </w:r>
    </w:p>
    <w:p w:rsidR="00017400" w:rsidRDefault="00017400" w:rsidP="00017400">
      <w:pPr>
        <w:jc w:val="both"/>
      </w:pPr>
    </w:p>
    <w:p w:rsidR="009E2022" w:rsidRDefault="009E2022" w:rsidP="00017400">
      <w:pPr>
        <w:jc w:val="both"/>
        <w:rPr>
          <w:rStyle w:val="Heading3Char"/>
          <w:rFonts w:eastAsia="Calibri"/>
          <w:b w:val="0"/>
          <w:color w:val="4CB2B3" w:themeColor="accent4"/>
          <w:sz w:val="22"/>
        </w:rPr>
      </w:pPr>
      <w:r>
        <w:t xml:space="preserve">Is each enclosed space individually switched in accordance with the Credit Criteria? </w:t>
      </w:r>
      <w:r w:rsidRPr="009E2022">
        <w:rPr>
          <w:rStyle w:val="Heading3Char"/>
          <w:rFonts w:eastAsia="Calibri"/>
          <w:b w:val="0"/>
          <w:color w:val="4CB2B3" w:themeColor="accent4"/>
          <w:sz w:val="22"/>
        </w:rPr>
        <w:t>[Yes / No]</w:t>
      </w:r>
    </w:p>
    <w:p w:rsidR="009E2022" w:rsidRDefault="009E2022" w:rsidP="00017400">
      <w:pPr>
        <w:jc w:val="both"/>
        <w:rPr>
          <w:rStyle w:val="Heading3Char"/>
          <w:rFonts w:eastAsia="Calibri"/>
          <w:color w:val="4CB2B3" w:themeColor="accent4"/>
          <w:sz w:val="22"/>
        </w:rPr>
      </w:pPr>
    </w:p>
    <w:p w:rsidR="00806C48" w:rsidRDefault="00806C48" w:rsidP="00017400">
      <w:pPr>
        <w:jc w:val="both"/>
        <w:rPr>
          <w:rStyle w:val="Heading3Char"/>
          <w:rFonts w:eastAsia="Calibri"/>
          <w:color w:val="4CB2B3" w:themeColor="accent4"/>
          <w:sz w:val="22"/>
        </w:rPr>
      </w:pPr>
    </w:p>
    <w:p w:rsidR="00806C48" w:rsidRPr="00806C48" w:rsidRDefault="00806C48" w:rsidP="00806C48">
      <w:pPr>
        <w:pStyle w:val="Caption"/>
        <w:rPr>
          <w:rStyle w:val="Heading3Char"/>
          <w:rFonts w:eastAsia="Calibri"/>
          <w:color w:val="4CB2B3" w:themeColor="accent4"/>
          <w:sz w:val="22"/>
          <w:szCs w:val="22"/>
        </w:rPr>
      </w:pPr>
      <w:r w:rsidRPr="00806C48">
        <w:rPr>
          <w:sz w:val="22"/>
          <w:szCs w:val="22"/>
        </w:rPr>
        <w:lastRenderedPageBreak/>
        <w:t xml:space="preserve">Table </w:t>
      </w:r>
      <w:r w:rsidRPr="00806C48">
        <w:rPr>
          <w:sz w:val="22"/>
          <w:szCs w:val="22"/>
        </w:rPr>
        <w:fldChar w:fldCharType="begin"/>
      </w:r>
      <w:r w:rsidRPr="00806C48">
        <w:rPr>
          <w:sz w:val="22"/>
          <w:szCs w:val="22"/>
        </w:rPr>
        <w:instrText xml:space="preserve"> SEQ Table \* ARABIC </w:instrText>
      </w:r>
      <w:r w:rsidRPr="00806C48"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2</w:t>
      </w:r>
      <w:r w:rsidRPr="00806C48">
        <w:rPr>
          <w:sz w:val="22"/>
          <w:szCs w:val="22"/>
        </w:rPr>
        <w:fldChar w:fldCharType="end"/>
      </w:r>
      <w:r w:rsidRPr="00806C48">
        <w:rPr>
          <w:sz w:val="22"/>
          <w:szCs w:val="22"/>
        </w:rPr>
        <w:t xml:space="preserve"> Compliant NLA</w:t>
      </w:r>
    </w:p>
    <w:tbl>
      <w:tblPr>
        <w:tblStyle w:val="TableGrid"/>
        <w:tblW w:w="0" w:type="auto"/>
        <w:tblLook w:val="04A0"/>
      </w:tblPr>
      <w:tblGrid>
        <w:gridCol w:w="3544"/>
        <w:gridCol w:w="2282"/>
      </w:tblGrid>
      <w:tr w:rsidR="009E2022" w:rsidTr="009E2022">
        <w:trPr>
          <w:cnfStyle w:val="100000000000"/>
          <w:trHeight w:val="630"/>
        </w:trPr>
        <w:tc>
          <w:tcPr>
            <w:cnfStyle w:val="001000000000"/>
            <w:tcW w:w="3544" w:type="dxa"/>
          </w:tcPr>
          <w:p w:rsidR="009E2022" w:rsidRPr="00806C48" w:rsidRDefault="009E2022" w:rsidP="009E2022">
            <w:pPr>
              <w:rPr>
                <w:sz w:val="20"/>
              </w:rPr>
            </w:pPr>
            <w:r w:rsidRPr="00806C48">
              <w:rPr>
                <w:sz w:val="20"/>
              </w:rPr>
              <w:t xml:space="preserve">Total area of compliance zones </w:t>
            </w:r>
          </w:p>
        </w:tc>
        <w:tc>
          <w:tcPr>
            <w:tcW w:w="2282" w:type="dxa"/>
          </w:tcPr>
          <w:p w:rsidR="009E2022" w:rsidRPr="00806C48" w:rsidRDefault="009E2022" w:rsidP="009E2022">
            <w:pPr>
              <w:pStyle w:val="Bluetext"/>
              <w:cnfStyle w:val="100000000000"/>
              <w:rPr>
                <w:color w:val="3F454F" w:themeColor="accent3"/>
                <w:sz w:val="20"/>
              </w:rPr>
            </w:pPr>
            <w:r w:rsidRPr="00806C48">
              <w:rPr>
                <w:rFonts w:asciiTheme="minorHAnsi" w:eastAsiaTheme="minorHAnsi" w:hAnsiTheme="minorHAnsi" w:cstheme="minorBidi"/>
                <w:sz w:val="20"/>
                <w:lang w:val="en-AU"/>
              </w:rPr>
              <w:t>(m</w:t>
            </w:r>
            <w:r w:rsidRPr="00806C48">
              <w:rPr>
                <w:rFonts w:asciiTheme="minorHAnsi" w:eastAsiaTheme="minorHAnsi" w:hAnsiTheme="minorHAnsi" w:cstheme="minorBidi"/>
                <w:sz w:val="20"/>
                <w:vertAlign w:val="superscript"/>
                <w:lang w:val="en-AU"/>
              </w:rPr>
              <w:t>2</w:t>
            </w:r>
            <w:r w:rsidRPr="00806C48">
              <w:rPr>
                <w:rFonts w:asciiTheme="minorHAnsi" w:eastAsiaTheme="minorHAnsi" w:hAnsiTheme="minorHAnsi" w:cstheme="minorBidi"/>
                <w:sz w:val="20"/>
                <w:lang w:val="en-AU"/>
              </w:rPr>
              <w:t>)</w:t>
            </w:r>
          </w:p>
        </w:tc>
      </w:tr>
      <w:tr w:rsidR="009E2022" w:rsidTr="009E2022">
        <w:trPr>
          <w:cnfStyle w:val="000000100000"/>
          <w:trHeight w:val="383"/>
        </w:trPr>
        <w:tc>
          <w:tcPr>
            <w:cnfStyle w:val="001000000000"/>
            <w:tcW w:w="3544" w:type="dxa"/>
          </w:tcPr>
          <w:p w:rsidR="009E2022" w:rsidRPr="0095729D" w:rsidRDefault="009E2022" w:rsidP="009E2022">
            <w:pPr>
              <w:jc w:val="both"/>
              <w:rPr>
                <w:sz w:val="20"/>
              </w:rPr>
            </w:pPr>
            <w:r w:rsidRPr="00B2054D">
              <w:rPr>
                <w:sz w:val="20"/>
              </w:rPr>
              <w:t xml:space="preserve">Total NLA </w:t>
            </w:r>
          </w:p>
        </w:tc>
        <w:tc>
          <w:tcPr>
            <w:tcW w:w="2282" w:type="dxa"/>
          </w:tcPr>
          <w:p w:rsidR="009E2022" w:rsidRPr="00034030" w:rsidRDefault="009E2022" w:rsidP="009E2022">
            <w:pPr>
              <w:pStyle w:val="Bluetext"/>
              <w:cnfStyle w:val="000000100000"/>
              <w:rPr>
                <w:color w:val="3F454F" w:themeColor="accent3"/>
              </w:rPr>
            </w:pPr>
            <w:r w:rsidRPr="00F22377"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  <w:t>(m</w:t>
            </w:r>
            <w:r w:rsidRPr="00F22377">
              <w:rPr>
                <w:rFonts w:asciiTheme="minorHAnsi" w:eastAsiaTheme="minorHAnsi" w:hAnsiTheme="minorHAnsi" w:cstheme="minorBidi"/>
                <w:sz w:val="22"/>
                <w:szCs w:val="22"/>
                <w:vertAlign w:val="superscript"/>
                <w:lang w:val="en-AU"/>
              </w:rPr>
              <w:t>2</w:t>
            </w:r>
            <w:r w:rsidRPr="00F22377"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  <w:t>)</w:t>
            </w:r>
          </w:p>
        </w:tc>
      </w:tr>
      <w:tr w:rsidR="009E2022" w:rsidTr="009E2022">
        <w:trPr>
          <w:trHeight w:val="383"/>
        </w:trPr>
        <w:tc>
          <w:tcPr>
            <w:cnfStyle w:val="001000000000"/>
            <w:tcW w:w="3544" w:type="dxa"/>
          </w:tcPr>
          <w:p w:rsidR="009E2022" w:rsidRPr="0095729D" w:rsidRDefault="009E2022" w:rsidP="009E2022">
            <w:pPr>
              <w:rPr>
                <w:sz w:val="20"/>
              </w:rPr>
            </w:pPr>
            <w:r w:rsidRPr="00B2054D">
              <w:rPr>
                <w:sz w:val="20"/>
              </w:rPr>
              <w:t xml:space="preserve">Percent Compliant NLA </w:t>
            </w:r>
          </w:p>
        </w:tc>
        <w:tc>
          <w:tcPr>
            <w:tcW w:w="2282" w:type="dxa"/>
          </w:tcPr>
          <w:p w:rsidR="009E2022" w:rsidRPr="00034030" w:rsidRDefault="009E2022" w:rsidP="009E2022">
            <w:pPr>
              <w:pStyle w:val="Bluetext"/>
              <w:cnfStyle w:val="000000000000"/>
              <w:rPr>
                <w:b/>
                <w:color w:val="3F454F" w:themeColor="accent3"/>
              </w:rPr>
            </w:pPr>
            <w:r w:rsidRPr="00F22377"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  <w:t>(%)</w:t>
            </w:r>
          </w:p>
        </w:tc>
      </w:tr>
    </w:tbl>
    <w:p w:rsidR="009E2022" w:rsidRPr="00037BBE" w:rsidRDefault="009E2022" w:rsidP="00017400">
      <w:pPr>
        <w:jc w:val="both"/>
      </w:pPr>
    </w:p>
    <w:p w:rsidR="00017400" w:rsidRDefault="00017400" w:rsidP="00017400">
      <w:pPr>
        <w:pStyle w:val="Heading3"/>
        <w:sectPr w:rsidR="00017400" w:rsidSect="00DD782A">
          <w:headerReference w:type="default" r:id="rId8"/>
          <w:footerReference w:type="default" r:id="rId9"/>
          <w:pgSz w:w="11906" w:h="16838" w:code="9"/>
          <w:pgMar w:top="1701" w:right="680" w:bottom="1701" w:left="680" w:header="708" w:footer="708" w:gutter="0"/>
          <w:cols w:space="708"/>
          <w:docGrid w:linePitch="360"/>
        </w:sectPr>
      </w:pPr>
    </w:p>
    <w:p w:rsidR="003D19C6" w:rsidRDefault="009E2022" w:rsidP="009E2022">
      <w:pPr>
        <w:pStyle w:val="HeadingSimilarStyle"/>
        <w:rPr>
          <w:color w:val="8FBF44" w:themeColor="accent6" w:themeShade="BF"/>
        </w:rPr>
      </w:pPr>
      <w:r w:rsidRPr="009E2022">
        <w:rPr>
          <w:color w:val="8FBF44" w:themeColor="accent6" w:themeShade="BF"/>
        </w:rPr>
        <w:lastRenderedPageBreak/>
        <w:t>Switch Accessibility</w:t>
      </w:r>
    </w:p>
    <w:p w:rsidR="009E2022" w:rsidRPr="009E2022" w:rsidRDefault="009E2022" w:rsidP="009E2022">
      <w:pPr>
        <w:rPr>
          <w:color w:val="398586" w:themeColor="accent4" w:themeShade="BF"/>
        </w:rPr>
      </w:pPr>
      <w:r w:rsidRPr="009E2022">
        <w:rPr>
          <w:color w:val="398586" w:themeColor="accent4" w:themeShade="BF"/>
        </w:rPr>
        <w:t>[Please outline the way in which the switching provided for the project can be considered 'easily accessible' in line with the definition on page 167 of the Technical Manual]</w:t>
      </w:r>
    </w:p>
    <w:p w:rsidR="009E2022" w:rsidRDefault="009E2022" w:rsidP="009E2022">
      <w:pPr>
        <w:pStyle w:val="GBCAHeading4ListNumberLevel2"/>
        <w:numPr>
          <w:ilvl w:val="0"/>
          <w:numId w:val="0"/>
        </w:numPr>
        <w:ind w:left="360" w:hanging="360"/>
        <w:rPr>
          <w:color w:val="8FBF44" w:themeColor="accent6" w:themeShade="BF"/>
        </w:rPr>
      </w:pPr>
    </w:p>
    <w:p w:rsidR="009E2022" w:rsidRPr="009E2022" w:rsidRDefault="009E2022" w:rsidP="009E2022">
      <w:pPr>
        <w:pStyle w:val="HeadingSimilarStyle"/>
        <w:rPr>
          <w:color w:val="8FBF44" w:themeColor="accent6" w:themeShade="BF"/>
        </w:rPr>
      </w:pPr>
      <w:r w:rsidRPr="009E2022">
        <w:rPr>
          <w:color w:val="8FBF44" w:themeColor="accent6" w:themeShade="BF"/>
        </w:rPr>
        <w:t>Switch Labelling</w:t>
      </w:r>
    </w:p>
    <w:p w:rsidR="009E2022" w:rsidRDefault="009E2022" w:rsidP="009E2022">
      <w:pPr>
        <w:rPr>
          <w:color w:val="398586" w:themeColor="accent4" w:themeShade="BF"/>
        </w:rPr>
      </w:pPr>
      <w:r w:rsidRPr="009E2022">
        <w:rPr>
          <w:color w:val="398586" w:themeColor="accent4" w:themeShade="BF"/>
        </w:rPr>
        <w:t>[Please outline the way in which switches have been clearly labelled]</w:t>
      </w:r>
    </w:p>
    <w:p w:rsidR="009E2022" w:rsidRDefault="009E2022" w:rsidP="009E2022">
      <w:pPr>
        <w:rPr>
          <w:color w:val="398586" w:themeColor="accent4" w:themeShade="BF"/>
        </w:rPr>
      </w:pPr>
    </w:p>
    <w:p w:rsidR="009E2022" w:rsidRDefault="009E2022" w:rsidP="009E2022">
      <w:pPr>
        <w:pStyle w:val="AdditionalpointNAclaimed"/>
      </w:pPr>
      <w:r>
        <w:t>Therefore, as demonstrated in section 1</w:t>
      </w:r>
      <w:r w:rsidRPr="00782A11">
        <w:t>,</w:t>
      </w:r>
      <w:r>
        <w:rPr>
          <w:color w:val="2F333B" w:themeColor="accent3" w:themeShade="BF"/>
        </w:rPr>
        <w:t xml:space="preserve"> </w:t>
      </w:r>
      <w:r>
        <w:t xml:space="preserve">this project is eligible to achieve </w:t>
      </w:r>
      <w:r w:rsidRPr="00965C5C">
        <w:rPr>
          <w:color w:val="4CB2B3" w:themeColor="accent4"/>
        </w:rPr>
        <w:t>[1]</w:t>
      </w:r>
      <w:r>
        <w:t xml:space="preserve"> point for demonstrating that all individual or enclosed spaces have lighting controls.  </w:t>
      </w:r>
    </w:p>
    <w:p w:rsidR="009E2022" w:rsidRPr="009E2022" w:rsidRDefault="009E2022" w:rsidP="009E2022">
      <w:pPr>
        <w:rPr>
          <w:color w:val="398586" w:themeColor="accent4" w:themeShade="BF"/>
        </w:rPr>
      </w:pPr>
    </w:p>
    <w:p w:rsidR="009E2022" w:rsidRDefault="009E2022" w:rsidP="009E2022">
      <w:pPr>
        <w:pStyle w:val="Numberedheading"/>
      </w:pPr>
      <w:r>
        <w:t>Individually Addressable Lighting</w:t>
      </w:r>
    </w:p>
    <w:p w:rsidR="009E2022" w:rsidRDefault="009E2022" w:rsidP="009E2022">
      <w:r>
        <w:t xml:space="preserve">In addition to providing individual lighting controls for occupants in individual or enclosed spaces, the project provides individually addressable lighting system for </w:t>
      </w:r>
      <w:r w:rsidRPr="009E2022">
        <w:rPr>
          <w:color w:val="4CB2B3" w:themeColor="accent4"/>
        </w:rPr>
        <w:t>[90%]</w:t>
      </w:r>
      <w:r w:rsidRPr="009E2022">
        <w:rPr>
          <w:color w:val="3F454F" w:themeColor="accent3"/>
        </w:rPr>
        <w:t xml:space="preserve"> </w:t>
      </w:r>
      <w:r>
        <w:t xml:space="preserve">of the NLA. </w:t>
      </w:r>
    </w:p>
    <w:p w:rsidR="00806C48" w:rsidRPr="00806C48" w:rsidRDefault="00806C48" w:rsidP="00806C48">
      <w:pPr>
        <w:pStyle w:val="Caption"/>
        <w:rPr>
          <w:sz w:val="22"/>
          <w:szCs w:val="22"/>
        </w:rPr>
      </w:pPr>
      <w:r w:rsidRPr="00806C48">
        <w:rPr>
          <w:sz w:val="22"/>
          <w:szCs w:val="22"/>
        </w:rPr>
        <w:t xml:space="preserve">Table </w:t>
      </w:r>
      <w:r w:rsidRPr="00806C48">
        <w:rPr>
          <w:sz w:val="22"/>
          <w:szCs w:val="22"/>
        </w:rPr>
        <w:fldChar w:fldCharType="begin"/>
      </w:r>
      <w:r w:rsidRPr="00806C48">
        <w:rPr>
          <w:sz w:val="22"/>
          <w:szCs w:val="22"/>
        </w:rPr>
        <w:instrText xml:space="preserve"> SEQ Table \* ARABIC </w:instrText>
      </w:r>
      <w:r w:rsidRPr="00806C48">
        <w:rPr>
          <w:sz w:val="22"/>
          <w:szCs w:val="22"/>
        </w:rPr>
        <w:fldChar w:fldCharType="separate"/>
      </w:r>
      <w:r w:rsidRPr="00806C48">
        <w:rPr>
          <w:noProof/>
          <w:sz w:val="22"/>
          <w:szCs w:val="22"/>
        </w:rPr>
        <w:t>3</w:t>
      </w:r>
      <w:r w:rsidRPr="00806C48">
        <w:rPr>
          <w:sz w:val="22"/>
          <w:szCs w:val="22"/>
        </w:rPr>
        <w:fldChar w:fldCharType="end"/>
      </w:r>
      <w:r w:rsidRPr="00806C48">
        <w:rPr>
          <w:sz w:val="22"/>
          <w:szCs w:val="22"/>
        </w:rPr>
        <w:t xml:space="preserve"> Individual Addressable Lighting</w:t>
      </w:r>
    </w:p>
    <w:tbl>
      <w:tblPr>
        <w:tblStyle w:val="TableGrid"/>
        <w:tblW w:w="0" w:type="auto"/>
        <w:tblLook w:val="04A0"/>
      </w:tblPr>
      <w:tblGrid>
        <w:gridCol w:w="3541"/>
        <w:gridCol w:w="3502"/>
        <w:gridCol w:w="3503"/>
      </w:tblGrid>
      <w:tr w:rsidR="009E2022" w:rsidTr="009E2022">
        <w:trPr>
          <w:cnfStyle w:val="100000000000"/>
        </w:trPr>
        <w:tc>
          <w:tcPr>
            <w:cnfStyle w:val="001000000000"/>
            <w:tcW w:w="3541" w:type="dxa"/>
          </w:tcPr>
          <w:p w:rsidR="009E2022" w:rsidRPr="00806C48" w:rsidRDefault="009E2022" w:rsidP="009E2022">
            <w:pPr>
              <w:rPr>
                <w:color w:val="3F454F" w:themeColor="accent3"/>
                <w:sz w:val="22"/>
                <w:szCs w:val="22"/>
              </w:rPr>
            </w:pPr>
            <w:r w:rsidRPr="00806C48">
              <w:rPr>
                <w:color w:val="3F454F" w:themeColor="accent3"/>
                <w:sz w:val="22"/>
                <w:szCs w:val="22"/>
              </w:rPr>
              <w:t>Total Building Area (m</w:t>
            </w:r>
            <w:r w:rsidRPr="00806C48">
              <w:rPr>
                <w:color w:val="3F454F" w:themeColor="accent3"/>
                <w:sz w:val="22"/>
                <w:szCs w:val="22"/>
                <w:vertAlign w:val="superscript"/>
              </w:rPr>
              <w:t>2</w:t>
            </w:r>
            <w:r w:rsidRPr="00806C48">
              <w:rPr>
                <w:color w:val="3F454F" w:themeColor="accent3"/>
                <w:sz w:val="22"/>
                <w:szCs w:val="22"/>
              </w:rPr>
              <w:t>)</w:t>
            </w:r>
          </w:p>
        </w:tc>
        <w:tc>
          <w:tcPr>
            <w:tcW w:w="3502" w:type="dxa"/>
          </w:tcPr>
          <w:p w:rsidR="009E2022" w:rsidRPr="00806C48" w:rsidRDefault="009E2022" w:rsidP="009E2022">
            <w:pPr>
              <w:cnfStyle w:val="100000000000"/>
              <w:rPr>
                <w:color w:val="3F454F" w:themeColor="accent3"/>
                <w:sz w:val="22"/>
                <w:szCs w:val="22"/>
              </w:rPr>
            </w:pPr>
          </w:p>
        </w:tc>
        <w:tc>
          <w:tcPr>
            <w:tcW w:w="3503" w:type="dxa"/>
          </w:tcPr>
          <w:p w:rsidR="009E2022" w:rsidRDefault="009E2022" w:rsidP="009E2022">
            <w:pPr>
              <w:cnfStyle w:val="100000000000"/>
              <w:rPr>
                <w:color w:val="3F454F" w:themeColor="accent3"/>
              </w:rPr>
            </w:pPr>
          </w:p>
        </w:tc>
      </w:tr>
      <w:tr w:rsidR="009E2022" w:rsidTr="009E2022">
        <w:trPr>
          <w:cnfStyle w:val="000000100000"/>
        </w:trPr>
        <w:tc>
          <w:tcPr>
            <w:cnfStyle w:val="001000000000"/>
            <w:tcW w:w="3541" w:type="dxa"/>
          </w:tcPr>
          <w:p w:rsidR="009E2022" w:rsidRPr="00F22377" w:rsidRDefault="009E2022" w:rsidP="009E2022">
            <w:pPr>
              <w:rPr>
                <w:color w:val="3F454F" w:themeColor="accent3"/>
              </w:rPr>
            </w:pPr>
            <w:r>
              <w:rPr>
                <w:color w:val="3F454F" w:themeColor="accent3"/>
              </w:rPr>
              <w:t>Total Compliant Area (m</w:t>
            </w:r>
            <w:r>
              <w:rPr>
                <w:color w:val="3F454F" w:themeColor="accent3"/>
                <w:vertAlign w:val="superscript"/>
              </w:rPr>
              <w:t>2</w:t>
            </w:r>
            <w:r>
              <w:rPr>
                <w:color w:val="3F454F" w:themeColor="accent3"/>
              </w:rPr>
              <w:t>)</w:t>
            </w:r>
          </w:p>
        </w:tc>
        <w:tc>
          <w:tcPr>
            <w:tcW w:w="3502" w:type="dxa"/>
          </w:tcPr>
          <w:p w:rsidR="009E2022" w:rsidRDefault="009E2022" w:rsidP="009E2022">
            <w:pPr>
              <w:cnfStyle w:val="000000100000"/>
              <w:rPr>
                <w:color w:val="3F454F" w:themeColor="accent3"/>
              </w:rPr>
            </w:pPr>
          </w:p>
        </w:tc>
        <w:tc>
          <w:tcPr>
            <w:tcW w:w="3503" w:type="dxa"/>
          </w:tcPr>
          <w:p w:rsidR="009E2022" w:rsidRDefault="009E2022" w:rsidP="009E2022">
            <w:pPr>
              <w:cnfStyle w:val="000000100000"/>
              <w:rPr>
                <w:color w:val="3F454F" w:themeColor="accent3"/>
              </w:rPr>
            </w:pPr>
          </w:p>
        </w:tc>
      </w:tr>
      <w:tr w:rsidR="009E2022" w:rsidTr="009E2022">
        <w:tc>
          <w:tcPr>
            <w:cnfStyle w:val="001000000000"/>
            <w:tcW w:w="3541" w:type="dxa"/>
          </w:tcPr>
          <w:p w:rsidR="009E2022" w:rsidRDefault="009E2022" w:rsidP="009E2022">
            <w:pPr>
              <w:rPr>
                <w:color w:val="3F454F" w:themeColor="accent3"/>
              </w:rPr>
            </w:pPr>
            <w:r>
              <w:rPr>
                <w:color w:val="3F454F" w:themeColor="accent3"/>
              </w:rPr>
              <w:t>Percent Compliant (%)</w:t>
            </w:r>
          </w:p>
        </w:tc>
        <w:tc>
          <w:tcPr>
            <w:tcW w:w="3502" w:type="dxa"/>
          </w:tcPr>
          <w:p w:rsidR="009E2022" w:rsidRDefault="009E2022" w:rsidP="009E2022">
            <w:pPr>
              <w:cnfStyle w:val="000000000000"/>
              <w:rPr>
                <w:color w:val="3F454F" w:themeColor="accent3"/>
              </w:rPr>
            </w:pPr>
          </w:p>
        </w:tc>
        <w:tc>
          <w:tcPr>
            <w:tcW w:w="3503" w:type="dxa"/>
          </w:tcPr>
          <w:p w:rsidR="009E2022" w:rsidRDefault="009E2022" w:rsidP="009E2022">
            <w:pPr>
              <w:cnfStyle w:val="000000000000"/>
              <w:rPr>
                <w:color w:val="3F454F" w:themeColor="accent3"/>
              </w:rPr>
            </w:pPr>
          </w:p>
        </w:tc>
      </w:tr>
    </w:tbl>
    <w:p w:rsidR="009E2022" w:rsidRPr="009E2022" w:rsidRDefault="009E2022" w:rsidP="009E2022"/>
    <w:p w:rsidR="009E2022" w:rsidRPr="009E2022" w:rsidRDefault="009E2022" w:rsidP="009E2022">
      <w:pPr>
        <w:rPr>
          <w:color w:val="4CB2B3" w:themeColor="accent4"/>
        </w:rPr>
      </w:pPr>
      <w:r w:rsidRPr="009E2022">
        <w:rPr>
          <w:color w:val="4CB2B3" w:themeColor="accent4"/>
        </w:rPr>
        <w:t>[Insert hyperlinks to documents which support these claims]</w:t>
      </w:r>
    </w:p>
    <w:p w:rsidR="009E2022" w:rsidRDefault="009E2022" w:rsidP="009E2022"/>
    <w:p w:rsidR="009E2022" w:rsidRDefault="009E2022" w:rsidP="009E2022">
      <w:pPr>
        <w:pStyle w:val="AdditionalpointNAclaimed"/>
      </w:pPr>
      <w:r>
        <w:t>Therefore, as demonstrated in section 2</w:t>
      </w:r>
      <w:r w:rsidRPr="00782A11">
        <w:t>,</w:t>
      </w:r>
      <w:r w:rsidRPr="00F22377">
        <w:t xml:space="preserve"> </w:t>
      </w:r>
      <w:r>
        <w:t xml:space="preserve">this project is eligible to </w:t>
      </w:r>
      <w:r w:rsidRPr="00A81C7E">
        <w:t xml:space="preserve">achieve </w:t>
      </w:r>
      <w:r w:rsidRPr="009E2022">
        <w:rPr>
          <w:color w:val="398586" w:themeColor="accent4" w:themeShade="BF"/>
        </w:rPr>
        <w:t>[1 additional]</w:t>
      </w:r>
      <w:r w:rsidRPr="00A81C7E">
        <w:t xml:space="preserve"> point</w:t>
      </w:r>
      <w:r>
        <w:t xml:space="preserve"> for demonstrating that individually addressable lighting system is provided for at least 90% of the NLA. </w:t>
      </w:r>
    </w:p>
    <w:p w:rsidR="009E2022" w:rsidRDefault="009E2022" w:rsidP="009E2022"/>
    <w:p w:rsidR="00017400" w:rsidRPr="0035552E" w:rsidRDefault="00017400" w:rsidP="00965C5C">
      <w:pPr>
        <w:pStyle w:val="Heading2"/>
      </w:pPr>
      <w:r w:rsidRPr="0035552E">
        <w:lastRenderedPageBreak/>
        <w:t>Discussion</w:t>
      </w:r>
    </w:p>
    <w:p w:rsidR="00017400" w:rsidRDefault="00017400" w:rsidP="00965C5C">
      <w:pPr>
        <w:pStyle w:val="Bluetext"/>
      </w:pPr>
      <w:r w:rsidRPr="00391850">
        <w:t>[Insert any issues you would like to highlight and clarify to the Assessment Panel.]</w:t>
      </w:r>
    </w:p>
    <w:p w:rsidR="00772744" w:rsidRDefault="00772744" w:rsidP="00772744"/>
    <w:p w:rsidR="00772744" w:rsidRPr="0035552E" w:rsidRDefault="00772744" w:rsidP="00772744">
      <w:r>
        <w:t xml:space="preserve">Author Details: </w:t>
      </w:r>
    </w:p>
    <w:p w:rsidR="00772744" w:rsidRPr="0023233C" w:rsidRDefault="00772744" w:rsidP="00772744">
      <w:pPr>
        <w:rPr>
          <w:color w:val="4CB2B3" w:themeColor="accent4"/>
        </w:rPr>
      </w:pPr>
      <w:r w:rsidRPr="0023233C">
        <w:rPr>
          <w:color w:val="4CB2B3" w:themeColor="accent4"/>
        </w:rPr>
        <w:t>[Insert name, position and contact details of author]</w:t>
      </w:r>
    </w:p>
    <w:sdt>
      <w:sdtPr>
        <w:rPr>
          <w:color w:val="4CB2B3" w:themeColor="accent4"/>
        </w:rPr>
        <w:id w:val="2568407"/>
        <w:placeholder>
          <w:docPart w:val="519207C6E7BC405D92A4A94339135F02"/>
        </w:placeholder>
        <w:date>
          <w:dateFormat w:val="d/MM/yyyy"/>
          <w:lid w:val="en-AU"/>
          <w:storeMappedDataAs w:val="dateTime"/>
          <w:calendar w:val="gregorian"/>
        </w:date>
      </w:sdtPr>
      <w:sdtContent>
        <w:p w:rsidR="00772744" w:rsidRPr="0023233C" w:rsidRDefault="00772744" w:rsidP="00772744">
          <w:pPr>
            <w:rPr>
              <w:color w:val="4CB2B3" w:themeColor="accent4"/>
            </w:rPr>
          </w:pPr>
          <w:r w:rsidRPr="0023233C">
            <w:rPr>
              <w:color w:val="4CB2B3" w:themeColor="accent4"/>
            </w:rPr>
            <w:t>[Date]</w:t>
          </w:r>
        </w:p>
      </w:sdtContent>
    </w:sdt>
    <w:p w:rsidR="00AC16F2" w:rsidRDefault="00AC16F2" w:rsidP="00772744"/>
    <w:p w:rsidR="00017400" w:rsidRDefault="00017400" w:rsidP="00965C5C">
      <w:pPr>
        <w:pStyle w:val="DateIssue"/>
      </w:pPr>
      <w:r w:rsidRPr="0035552E">
        <w:t xml:space="preserve">––– </w:t>
      </w:r>
      <w:r w:rsidRPr="00D520E6">
        <w:rPr>
          <w:rStyle w:val="Strong"/>
        </w:rPr>
        <w:t>Report end</w:t>
      </w:r>
      <w:r w:rsidRPr="0035552E">
        <w:t xml:space="preserve"> –––</w:t>
      </w:r>
      <w:bookmarkEnd w:id="0"/>
      <w:bookmarkEnd w:id="1"/>
    </w:p>
    <w:p w:rsidR="0087791D" w:rsidRDefault="0087791D"/>
    <w:sectPr w:rsidR="0087791D" w:rsidSect="004A1E52">
      <w:headerReference w:type="default" r:id="rId10"/>
      <w:type w:val="continuous"/>
      <w:pgSz w:w="11906" w:h="16838"/>
      <w:pgMar w:top="1701" w:right="680" w:bottom="1701" w:left="6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2022" w:rsidRDefault="009E2022" w:rsidP="00017400">
      <w:r>
        <w:separator/>
      </w:r>
    </w:p>
  </w:endnote>
  <w:endnote w:type="continuationSeparator" w:id="1">
    <w:p w:rsidR="009E2022" w:rsidRDefault="009E2022" w:rsidP="000174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022" w:rsidRPr="00B85A44" w:rsidRDefault="00BA73C1" w:rsidP="00DD782A">
    <w:pPr>
      <w:pStyle w:val="Footer"/>
      <w:jc w:val="right"/>
    </w:pPr>
    <w:sdt>
      <w:sdtPr>
        <w:id w:val="114239075"/>
        <w:docPartObj>
          <w:docPartGallery w:val="Page Numbers (Bottom of Page)"/>
          <w:docPartUnique/>
        </w:docPartObj>
      </w:sdtPr>
      <w:sdtContent>
        <w:r w:rsidRPr="001133B3">
          <w:rPr>
            <w:b/>
          </w:rPr>
          <w:fldChar w:fldCharType="begin"/>
        </w:r>
        <w:r w:rsidR="009E2022" w:rsidRPr="001133B3">
          <w:rPr>
            <w:b/>
          </w:rPr>
          <w:instrText xml:space="preserve"> PAGE   \* MERGEFORMAT </w:instrText>
        </w:r>
        <w:r w:rsidRPr="001133B3">
          <w:rPr>
            <w:b/>
          </w:rPr>
          <w:fldChar w:fldCharType="separate"/>
        </w:r>
        <w:r w:rsidR="00806C48">
          <w:rPr>
            <w:b/>
            <w:noProof/>
          </w:rPr>
          <w:t>3</w:t>
        </w:r>
        <w:r w:rsidRPr="001133B3">
          <w:rPr>
            <w:b/>
          </w:rPr>
          <w:fldChar w:fldCharType="end"/>
        </w:r>
      </w:sdtContent>
    </w:sdt>
    <w:r w:rsidR="009E2022">
      <w:rPr>
        <w:noProof/>
        <w:lang w:eastAsia="en-AU"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margin">
            <wp:align>left</wp:align>
          </wp:positionH>
          <wp:positionV relativeFrom="margin">
            <wp:posOffset>8677275</wp:posOffset>
          </wp:positionV>
          <wp:extent cx="3152775" cy="400050"/>
          <wp:effectExtent l="19050" t="0" r="9525" b="0"/>
          <wp:wrapNone/>
          <wp:docPr id="2" name="Picture 10" descr="Master Image_bott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ster Image_botto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52775" cy="400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2022" w:rsidRDefault="009E2022" w:rsidP="00017400">
      <w:r>
        <w:separator/>
      </w:r>
    </w:p>
  </w:footnote>
  <w:footnote w:type="continuationSeparator" w:id="1">
    <w:p w:rsidR="009E2022" w:rsidRDefault="009E2022" w:rsidP="000174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022" w:rsidRDefault="009E2022" w:rsidP="00DD782A">
    <w:pPr>
      <w:pStyle w:val="Header"/>
      <w:spacing w:line="220" w:lineRule="exact"/>
      <w:rPr>
        <w:b/>
        <w:sz w:val="16"/>
        <w:szCs w:val="16"/>
      </w:rPr>
    </w:pPr>
    <w:r>
      <w:rPr>
        <w:b/>
        <w:sz w:val="16"/>
        <w:szCs w:val="16"/>
      </w:rPr>
      <w:t>(The report is to be on the letterhead of the company preparing the report)</w:t>
    </w:r>
  </w:p>
  <w:p w:rsidR="009E2022" w:rsidRPr="00B85A44" w:rsidRDefault="009E2022" w:rsidP="00DD782A">
    <w:pPr>
      <w:pStyle w:val="Header"/>
      <w:tabs>
        <w:tab w:val="clear" w:pos="4513"/>
        <w:tab w:val="clear" w:pos="9026"/>
        <w:tab w:val="left" w:pos="3178"/>
      </w:tabs>
      <w:spacing w:line="220" w:lineRule="exact"/>
      <w:rPr>
        <w:sz w:val="16"/>
        <w:szCs w:val="16"/>
        <w:vertAlign w:val="subscript"/>
      </w:rPr>
    </w:pPr>
    <w:r>
      <w:rPr>
        <w:sz w:val="16"/>
        <w:szCs w:val="16"/>
      </w:rPr>
      <w:t xml:space="preserve">Date issued: </w:t>
    </w:r>
    <w:sdt>
      <w:sdtPr>
        <w:rPr>
          <w:sz w:val="16"/>
          <w:szCs w:val="16"/>
        </w:rPr>
        <w:id w:val="14030102"/>
        <w:placeholder>
          <w:docPart w:val="DefaultPlaceholder_22675705"/>
        </w:placeholder>
        <w:date w:fullDate="2013-07-23T00:00:00Z">
          <w:dateFormat w:val="d MMMM yyyy"/>
          <w:lid w:val="en-AU"/>
          <w:storeMappedDataAs w:val="dateTime"/>
          <w:calendar w:val="gregorian"/>
        </w:date>
      </w:sdtPr>
      <w:sdtContent>
        <w:r w:rsidR="00772744">
          <w:rPr>
            <w:sz w:val="16"/>
            <w:szCs w:val="16"/>
          </w:rPr>
          <w:t>23 July 2013</w:t>
        </w:r>
      </w:sdtContent>
    </w:sdt>
    <w:r>
      <w:rPr>
        <w:sz w:val="16"/>
        <w:szCs w:val="16"/>
      </w:rPr>
      <w:tab/>
    </w:r>
  </w:p>
  <w:p w:rsidR="009E2022" w:rsidRPr="000650AC" w:rsidRDefault="009E2022" w:rsidP="00DD782A">
    <w:pPr>
      <w:pStyle w:val="Header"/>
      <w:rPr>
        <w:rFonts w:cs="Arial"/>
        <w:color w:val="00B0F0"/>
        <w:szCs w:val="18"/>
      </w:rPr>
    </w:pPr>
  </w:p>
  <w:p w:rsidR="009E2022" w:rsidRDefault="009E2022">
    <w:pPr>
      <w:pStyle w:val="Header"/>
    </w:pPr>
  </w:p>
  <w:p w:rsidR="009E2022" w:rsidRDefault="009E2022" w:rsidP="00017400">
    <w:pPr>
      <w:pStyle w:val="Header"/>
      <w:ind w:left="-14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022" w:rsidRDefault="009E2022" w:rsidP="00017400">
    <w:pPr>
      <w:pStyle w:val="Header"/>
      <w:ind w:left="-14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ABC3C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41806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12E9C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3B8E3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03AEF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BC6A0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136DD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782EC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0084B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BCCB8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A50523"/>
    <w:multiLevelType w:val="hybridMultilevel"/>
    <w:tmpl w:val="84F2D4F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A17062"/>
    <w:multiLevelType w:val="hybridMultilevel"/>
    <w:tmpl w:val="3C40E99C"/>
    <w:lvl w:ilvl="0" w:tplc="D4FA15DE">
      <w:start w:val="1"/>
      <w:numFmt w:val="bullet"/>
      <w:pStyle w:val="BodyofTextBulletpoint2ndlevel"/>
      <w:lvlText w:val="–"/>
      <w:lvlJc w:val="left"/>
      <w:pPr>
        <w:ind w:left="644" w:hanging="360"/>
      </w:pPr>
      <w:rPr>
        <w:rFonts w:ascii="Arial" w:hAnsi="Arial" w:hint="default"/>
        <w:color w:val="8DC63F" w:themeColor="text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362F2A"/>
    <w:multiLevelType w:val="multilevel"/>
    <w:tmpl w:val="A9DC0E8E"/>
    <w:lvl w:ilvl="0">
      <w:start w:val="1"/>
      <w:numFmt w:val="decimal"/>
      <w:pStyle w:val="GBCAHeading4ListNumberLevel2"/>
      <w:lvlText w:val="%1."/>
      <w:lvlJc w:val="left"/>
      <w:pPr>
        <w:ind w:left="360" w:hanging="360"/>
      </w:pPr>
      <w:rPr>
        <w:rFonts w:ascii="Arial" w:hAnsi="Arial" w:hint="default"/>
        <w:b/>
        <w:i w:val="0"/>
        <w:caps/>
        <w:color w:val="00A1D7"/>
        <w:sz w:val="20"/>
      </w:rPr>
    </w:lvl>
    <w:lvl w:ilvl="1">
      <w:start w:val="1"/>
      <w:numFmt w:val="decimal"/>
      <w:pStyle w:val="HeadingSimilarStyle"/>
      <w:lvlText w:val="%1.%2"/>
      <w:lvlJc w:val="left"/>
      <w:pPr>
        <w:tabs>
          <w:tab w:val="num" w:pos="0"/>
        </w:tabs>
        <w:ind w:left="454" w:hanging="454"/>
      </w:pPr>
      <w:rPr>
        <w:rFonts w:ascii="Arial" w:hAnsi="Arial" w:cs="Arial" w:hint="default"/>
        <w:b/>
        <w:i w:val="0"/>
        <w:color w:val="8FBF44" w:themeColor="accent6" w:themeShade="BF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3">
    <w:nsid w:val="30892AB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0F865A0"/>
    <w:multiLevelType w:val="multilevel"/>
    <w:tmpl w:val="0409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15">
    <w:nsid w:val="3B624C0D"/>
    <w:multiLevelType w:val="multilevel"/>
    <w:tmpl w:val="3C62E7A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16">
    <w:nsid w:val="3F641EE6"/>
    <w:multiLevelType w:val="hybridMultilevel"/>
    <w:tmpl w:val="294816D6"/>
    <w:lvl w:ilvl="0" w:tplc="218A34F8">
      <w:start w:val="1"/>
      <w:numFmt w:val="bullet"/>
      <w:pStyle w:val="BodyofTextBulletpoint3rdlevel"/>
      <w:lvlText w:val="o"/>
      <w:lvlJc w:val="left"/>
      <w:pPr>
        <w:ind w:left="1077" w:hanging="360"/>
      </w:pPr>
      <w:rPr>
        <w:rFonts w:ascii="Wingdings" w:hAnsi="Wingdings" w:hint="default"/>
        <w:caps w:val="0"/>
        <w:outline w:val="0"/>
        <w:vanish w:val="0"/>
        <w:sz w:val="18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>
    <w:nsid w:val="4279631E"/>
    <w:multiLevelType w:val="hybridMultilevel"/>
    <w:tmpl w:val="4F2CB08A"/>
    <w:lvl w:ilvl="0" w:tplc="CB1A2846">
      <w:start w:val="1"/>
      <w:numFmt w:val="bullet"/>
      <w:pStyle w:val="BodyoftextBulletPoint"/>
      <w:lvlText w:val=""/>
      <w:lvlJc w:val="left"/>
      <w:pPr>
        <w:ind w:left="360" w:hanging="360"/>
      </w:pPr>
      <w:rPr>
        <w:rFonts w:ascii="Symbol" w:hAnsi="Symbol" w:hint="default"/>
        <w:color w:val="8DC63F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0B6CBD"/>
    <w:multiLevelType w:val="multilevel"/>
    <w:tmpl w:val="3C62E7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>
    <w:nsid w:val="51335FB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22C3449"/>
    <w:multiLevelType w:val="multilevel"/>
    <w:tmpl w:val="2536DFF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5ADC632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5C9756CF"/>
    <w:multiLevelType w:val="hybridMultilevel"/>
    <w:tmpl w:val="202214CA"/>
    <w:lvl w:ilvl="0" w:tplc="D200BF8E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7885B9D"/>
    <w:multiLevelType w:val="multilevel"/>
    <w:tmpl w:val="B8A2D5C0"/>
    <w:lvl w:ilvl="0">
      <w:start w:val="1"/>
      <w:numFmt w:val="decimal"/>
      <w:pStyle w:val="Numberedhead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7E170935"/>
    <w:multiLevelType w:val="hybridMultilevel"/>
    <w:tmpl w:val="0CD0D70C"/>
    <w:lvl w:ilvl="0" w:tplc="383CDA8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7"/>
  </w:num>
  <w:num w:numId="15">
    <w:abstractNumId w:val="16"/>
  </w:num>
  <w:num w:numId="16">
    <w:abstractNumId w:val="11"/>
  </w:num>
  <w:num w:numId="17">
    <w:abstractNumId w:val="10"/>
  </w:num>
  <w:num w:numId="18">
    <w:abstractNumId w:val="24"/>
  </w:num>
  <w:num w:numId="19">
    <w:abstractNumId w:val="14"/>
  </w:num>
  <w:num w:numId="20">
    <w:abstractNumId w:val="20"/>
  </w:num>
  <w:num w:numId="21">
    <w:abstractNumId w:val="21"/>
  </w:num>
  <w:num w:numId="22">
    <w:abstractNumId w:val="18"/>
  </w:num>
  <w:num w:numId="23">
    <w:abstractNumId w:val="23"/>
  </w:num>
  <w:num w:numId="24">
    <w:abstractNumId w:val="19"/>
  </w:num>
  <w:num w:numId="25">
    <w:abstractNumId w:val="23"/>
    <w:lvlOverride w:ilvl="0">
      <w:lvl w:ilvl="0">
        <w:start w:val="1"/>
        <w:numFmt w:val="decimal"/>
        <w:pStyle w:val="Numberedheading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360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2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linkStyles/>
  <w:defaultTabStop w:val="720"/>
  <w:drawingGridHorizontalSpacing w:val="90"/>
  <w:displayHorizontalDrawingGridEvery w:val="2"/>
  <w:characterSpacingControl w:val="doNotCompress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/>
  <w:rsids>
    <w:rsidRoot w:val="00017400"/>
    <w:rsid w:val="00017400"/>
    <w:rsid w:val="00023DA0"/>
    <w:rsid w:val="00037BBE"/>
    <w:rsid w:val="00145870"/>
    <w:rsid w:val="00366FC0"/>
    <w:rsid w:val="003D19C6"/>
    <w:rsid w:val="004A1E52"/>
    <w:rsid w:val="004E5AB3"/>
    <w:rsid w:val="004F4786"/>
    <w:rsid w:val="00551645"/>
    <w:rsid w:val="005F413B"/>
    <w:rsid w:val="006251D2"/>
    <w:rsid w:val="00730E84"/>
    <w:rsid w:val="00772744"/>
    <w:rsid w:val="00806C48"/>
    <w:rsid w:val="00873CD4"/>
    <w:rsid w:val="0087791D"/>
    <w:rsid w:val="008813DF"/>
    <w:rsid w:val="00960DD8"/>
    <w:rsid w:val="00965C5C"/>
    <w:rsid w:val="009E2022"/>
    <w:rsid w:val="00AC16F2"/>
    <w:rsid w:val="00BA73C1"/>
    <w:rsid w:val="00BF1B30"/>
    <w:rsid w:val="00C10858"/>
    <w:rsid w:val="00D063FD"/>
    <w:rsid w:val="00DC160F"/>
    <w:rsid w:val="00DD55FC"/>
    <w:rsid w:val="00DD782A"/>
    <w:rsid w:val="00E54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GBCA Document Text (Body),Body,Bold,Italics"/>
    <w:qFormat/>
    <w:rsid w:val="00806C48"/>
  </w:style>
  <w:style w:type="paragraph" w:styleId="Heading1">
    <w:name w:val="heading 1"/>
    <w:aliases w:val="GBCA Heading 1,GBCA,Section Title"/>
    <w:basedOn w:val="Normal"/>
    <w:next w:val="Normal"/>
    <w:link w:val="Heading1Char"/>
    <w:uiPriority w:val="9"/>
    <w:qFormat/>
    <w:rsid w:val="00366FC0"/>
    <w:pPr>
      <w:keepNext/>
      <w:keepLines/>
      <w:spacing w:line="340" w:lineRule="exact"/>
      <w:outlineLvl w:val="0"/>
    </w:pPr>
    <w:rPr>
      <w:rFonts w:ascii="Arial Black" w:eastAsiaTheme="majorEastAsia" w:hAnsi="Arial Black" w:cstheme="majorBidi"/>
      <w:bCs/>
      <w:color w:val="8DC63F" w:themeColor="text2"/>
      <w:sz w:val="30"/>
      <w:szCs w:val="28"/>
    </w:rPr>
  </w:style>
  <w:style w:type="paragraph" w:styleId="Heading2">
    <w:name w:val="heading 2"/>
    <w:aliases w:val="Heading"/>
    <w:basedOn w:val="Normal"/>
    <w:next w:val="Normal"/>
    <w:link w:val="Heading2Char"/>
    <w:uiPriority w:val="9"/>
    <w:unhideWhenUsed/>
    <w:qFormat/>
    <w:rsid w:val="00366FC0"/>
    <w:pPr>
      <w:keepNext/>
      <w:keepLines/>
      <w:spacing w:before="200"/>
      <w:outlineLvl w:val="1"/>
    </w:pPr>
    <w:rPr>
      <w:rFonts w:eastAsiaTheme="majorEastAsia" w:cstheme="majorBidi"/>
      <w:b/>
      <w:bCs/>
      <w:color w:val="8DC63F" w:themeColor="text2"/>
      <w:sz w:val="24"/>
      <w:szCs w:val="26"/>
    </w:rPr>
  </w:style>
  <w:style w:type="paragraph" w:styleId="Heading3">
    <w:name w:val="heading 3"/>
    <w:aliases w:val="GBCA Heading 3,GBCA subsubheading,Sub Heading"/>
    <w:basedOn w:val="Normal"/>
    <w:next w:val="Normal"/>
    <w:link w:val="Heading3Char"/>
    <w:uiPriority w:val="9"/>
    <w:unhideWhenUsed/>
    <w:qFormat/>
    <w:rsid w:val="00366FC0"/>
    <w:pPr>
      <w:keepNext/>
      <w:keepLines/>
      <w:outlineLvl w:val="2"/>
    </w:pPr>
    <w:rPr>
      <w:rFonts w:asciiTheme="majorHAnsi" w:eastAsiaTheme="majorEastAsia" w:hAnsiTheme="majorHAnsi" w:cstheme="majorBidi"/>
      <w:b/>
      <w:bCs/>
      <w:color w:val="8DC63F" w:themeColor="text2"/>
    </w:rPr>
  </w:style>
  <w:style w:type="paragraph" w:styleId="Heading4">
    <w:name w:val="heading 4"/>
    <w:aliases w:val="Sub Heading 2"/>
    <w:basedOn w:val="Normal"/>
    <w:next w:val="Normal"/>
    <w:link w:val="Heading4Char"/>
    <w:uiPriority w:val="9"/>
    <w:unhideWhenUsed/>
    <w:qFormat/>
    <w:rsid w:val="00366FC0"/>
    <w:pPr>
      <w:keepNext/>
      <w:keepLines/>
      <w:spacing w:after="0"/>
      <w:outlineLvl w:val="3"/>
    </w:pPr>
    <w:rPr>
      <w:rFonts w:eastAsiaTheme="majorEastAsia" w:cstheme="majorBidi"/>
      <w:b/>
      <w:bCs/>
      <w:iCs/>
      <w:color w:val="2C3034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366FC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41642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366FC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41642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366FC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B636C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66FC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636C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366FC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636C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  <w:rsid w:val="00806C48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806C48"/>
  </w:style>
  <w:style w:type="paragraph" w:styleId="Header">
    <w:name w:val="header"/>
    <w:aliases w:val="GBCA Header"/>
    <w:basedOn w:val="Normal"/>
    <w:link w:val="HeaderChar"/>
    <w:uiPriority w:val="99"/>
    <w:unhideWhenUsed/>
    <w:rsid w:val="00366F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GBCA Header Char"/>
    <w:basedOn w:val="DefaultParagraphFont"/>
    <w:link w:val="Header"/>
    <w:uiPriority w:val="99"/>
    <w:rsid w:val="00366FC0"/>
    <w:rPr>
      <w:rFonts w:ascii="Arial" w:hAnsi="Arial"/>
      <w:sz w:val="18"/>
    </w:rPr>
  </w:style>
  <w:style w:type="paragraph" w:styleId="Footer">
    <w:name w:val="footer"/>
    <w:basedOn w:val="Normal"/>
    <w:link w:val="FooterChar"/>
    <w:uiPriority w:val="99"/>
    <w:unhideWhenUsed/>
    <w:rsid w:val="00366F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6FC0"/>
    <w:rPr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6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FC0"/>
    <w:rPr>
      <w:rFonts w:ascii="Tahoma" w:hAnsi="Tahoma" w:cs="Tahoma"/>
      <w:sz w:val="16"/>
      <w:szCs w:val="16"/>
    </w:rPr>
  </w:style>
  <w:style w:type="character" w:customStyle="1" w:styleId="Heading1Char">
    <w:name w:val="Heading 1 Char"/>
    <w:aliases w:val="GBCA Heading 1 Char,GBCA Char,Section Title Char"/>
    <w:basedOn w:val="DefaultParagraphFont"/>
    <w:link w:val="Heading1"/>
    <w:uiPriority w:val="9"/>
    <w:rsid w:val="00366FC0"/>
    <w:rPr>
      <w:rFonts w:ascii="Arial Black" w:eastAsiaTheme="majorEastAsia" w:hAnsi="Arial Black" w:cstheme="majorBidi"/>
      <w:bCs/>
      <w:color w:val="8DC63F" w:themeColor="text2"/>
      <w:sz w:val="30"/>
      <w:szCs w:val="28"/>
    </w:rPr>
  </w:style>
  <w:style w:type="character" w:customStyle="1" w:styleId="Heading3Char">
    <w:name w:val="Heading 3 Char"/>
    <w:aliases w:val="GBCA Heading 3 Char,GBCA subsubheading Char,Sub Heading Char"/>
    <w:basedOn w:val="DefaultParagraphFont"/>
    <w:link w:val="Heading3"/>
    <w:uiPriority w:val="9"/>
    <w:rsid w:val="00366FC0"/>
    <w:rPr>
      <w:rFonts w:asciiTheme="majorHAnsi" w:eastAsiaTheme="majorEastAsia" w:hAnsiTheme="majorHAnsi" w:cstheme="majorBidi"/>
      <w:b/>
      <w:bCs/>
      <w:color w:val="8DC63F" w:themeColor="text2"/>
      <w:sz w:val="18"/>
    </w:rPr>
  </w:style>
  <w:style w:type="paragraph" w:styleId="ListParagraph">
    <w:name w:val="List Paragraph"/>
    <w:aliases w:val="Body of text - Bullet point"/>
    <w:basedOn w:val="Normal"/>
    <w:link w:val="ListParagraphChar"/>
    <w:uiPriority w:val="3"/>
    <w:qFormat/>
    <w:rsid w:val="00017400"/>
    <w:pPr>
      <w:numPr>
        <w:numId w:val="1"/>
      </w:numPr>
    </w:pPr>
  </w:style>
  <w:style w:type="character" w:customStyle="1" w:styleId="ListParagraphChar">
    <w:name w:val="List Paragraph Char"/>
    <w:aliases w:val="Body of text - Bullet point Char"/>
    <w:basedOn w:val="DefaultParagraphFont"/>
    <w:link w:val="ListParagraph"/>
    <w:uiPriority w:val="3"/>
    <w:rsid w:val="00017400"/>
    <w:rPr>
      <w:rFonts w:ascii="Arial" w:eastAsia="Times New Roman" w:hAnsi="Arial" w:cs="Times New Roman"/>
    </w:rPr>
  </w:style>
  <w:style w:type="table" w:styleId="TableGrid">
    <w:name w:val="Table Grid"/>
    <w:aliases w:val="GBCA Table 1,GBCA Table"/>
    <w:basedOn w:val="TableNormal"/>
    <w:rsid w:val="00366FC0"/>
    <w:pPr>
      <w:spacing w:before="120" w:after="120" w:line="240" w:lineRule="auto"/>
    </w:pPr>
    <w:rPr>
      <w:rFonts w:ascii="Arial" w:eastAsia="Times New Roman" w:hAnsi="Arial" w:cs="Times New Roman"/>
      <w:sz w:val="18"/>
      <w:szCs w:val="20"/>
      <w:lang w:val="en-US"/>
    </w:rPr>
    <w:tblPr>
      <w:tblStyleRowBandSize w:val="1"/>
      <w:tblInd w:w="0" w:type="dxa"/>
      <w:tblBorders>
        <w:top w:val="single" w:sz="24" w:space="0" w:color="8DC63F" w:themeColor="text2"/>
        <w:bottom w:val="single" w:sz="12" w:space="0" w:color="8DC63F" w:themeColor="text2"/>
        <w:insideH w:val="dotted" w:sz="4" w:space="0" w:color="8DC63F" w:themeColor="text2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  <w:vAlign w:val="center"/>
    </w:tcPr>
    <w:tblStylePr w:type="firstRow">
      <w:rPr>
        <w:rFonts w:ascii="Arial" w:hAnsi="Arial"/>
        <w:b/>
        <w:color w:val="auto"/>
        <w:sz w:val="28"/>
      </w:rPr>
    </w:tblStylePr>
    <w:tblStylePr w:type="firstCol">
      <w:rPr>
        <w:rFonts w:ascii="Arial" w:hAnsi="Arial"/>
        <w:b/>
        <w:sz w:val="22"/>
      </w:rPr>
    </w:tblStylePr>
    <w:tblStylePr w:type="band1Horz">
      <w:pPr>
        <w:jc w:val="left"/>
      </w:pPr>
      <w:tblPr/>
      <w:tcPr>
        <w:vAlign w:val="top"/>
      </w:tcPr>
    </w:tblStylePr>
  </w:style>
  <w:style w:type="character" w:styleId="Strong">
    <w:name w:val="Strong"/>
    <w:aliases w:val="GBCA Document Text Bold"/>
    <w:basedOn w:val="DefaultParagraphFont"/>
    <w:qFormat/>
    <w:rsid w:val="00366FC0"/>
    <w:rPr>
      <w:rFonts w:ascii="Arial" w:hAnsi="Arial"/>
      <w:b/>
      <w:bCs/>
    </w:rPr>
  </w:style>
  <w:style w:type="paragraph" w:styleId="BodyText2">
    <w:name w:val="Body Text 2"/>
    <w:aliases w:val="GBCA Document Summary"/>
    <w:basedOn w:val="Normal"/>
    <w:link w:val="BodyText2Char"/>
    <w:autoRedefine/>
    <w:rsid w:val="00366FC0"/>
    <w:pPr>
      <w:pBdr>
        <w:top w:val="single" w:sz="24" w:space="12" w:color="8DC63F" w:themeColor="text2"/>
        <w:bottom w:val="single" w:sz="4" w:space="12" w:color="8DC63F" w:themeColor="text2"/>
      </w:pBdr>
    </w:pPr>
    <w:rPr>
      <w:b/>
    </w:rPr>
  </w:style>
  <w:style w:type="character" w:customStyle="1" w:styleId="BodyText2Char">
    <w:name w:val="Body Text 2 Char"/>
    <w:aliases w:val="GBCA Document Summary Char"/>
    <w:basedOn w:val="DefaultParagraphFont"/>
    <w:link w:val="BodyText2"/>
    <w:rsid w:val="00366FC0"/>
    <w:rPr>
      <w:rFonts w:ascii="Arial" w:hAnsi="Arial"/>
      <w:b/>
      <w:sz w:val="18"/>
    </w:rPr>
  </w:style>
  <w:style w:type="paragraph" w:customStyle="1" w:styleId="GBCAHeading4">
    <w:name w:val="GBCA Heading 4"/>
    <w:basedOn w:val="Normal"/>
    <w:link w:val="GBCAHeading4Char"/>
    <w:qFormat/>
    <w:rsid w:val="00366FC0"/>
    <w:rPr>
      <w:b/>
      <w:sz w:val="24"/>
      <w:szCs w:val="24"/>
    </w:rPr>
  </w:style>
  <w:style w:type="character" w:customStyle="1" w:styleId="GBCAHeading4Char">
    <w:name w:val="GBCA Heading 4 Char"/>
    <w:basedOn w:val="DefaultParagraphFont"/>
    <w:link w:val="GBCAHeading4"/>
    <w:rsid w:val="00366FC0"/>
    <w:rPr>
      <w:rFonts w:ascii="Arial" w:hAnsi="Arial"/>
      <w:b/>
      <w:sz w:val="24"/>
      <w:szCs w:val="24"/>
    </w:rPr>
  </w:style>
  <w:style w:type="character" w:customStyle="1" w:styleId="Heading2Char">
    <w:name w:val="Heading 2 Char"/>
    <w:aliases w:val="Heading Char"/>
    <w:basedOn w:val="DefaultParagraphFont"/>
    <w:link w:val="Heading2"/>
    <w:uiPriority w:val="9"/>
    <w:rsid w:val="00366FC0"/>
    <w:rPr>
      <w:rFonts w:ascii="Arial" w:eastAsiaTheme="majorEastAsia" w:hAnsi="Arial" w:cstheme="majorBidi"/>
      <w:b/>
      <w:bCs/>
      <w:color w:val="8DC63F" w:themeColor="text2"/>
      <w:sz w:val="24"/>
      <w:szCs w:val="26"/>
    </w:rPr>
  </w:style>
  <w:style w:type="character" w:customStyle="1" w:styleId="Heading4Char">
    <w:name w:val="Heading 4 Char"/>
    <w:aliases w:val="Sub Heading 2 Char"/>
    <w:basedOn w:val="DefaultParagraphFont"/>
    <w:link w:val="Heading4"/>
    <w:uiPriority w:val="9"/>
    <w:rsid w:val="00366FC0"/>
    <w:rPr>
      <w:rFonts w:ascii="Arial" w:eastAsiaTheme="majorEastAsia" w:hAnsi="Arial" w:cstheme="majorBidi"/>
      <w:b/>
      <w:bCs/>
      <w:iCs/>
      <w:color w:val="2C3034" w:themeColor="text1"/>
      <w:sz w:val="18"/>
    </w:rPr>
  </w:style>
  <w:style w:type="character" w:customStyle="1" w:styleId="Heading5Char">
    <w:name w:val="Heading 5 Char"/>
    <w:basedOn w:val="DefaultParagraphFont"/>
    <w:link w:val="Heading5"/>
    <w:uiPriority w:val="9"/>
    <w:rsid w:val="00366FC0"/>
    <w:rPr>
      <w:rFonts w:asciiTheme="majorHAnsi" w:eastAsiaTheme="majorEastAsia" w:hAnsiTheme="majorHAnsi" w:cstheme="majorBidi"/>
      <w:color w:val="416420" w:themeColor="accent1" w:themeShade="7F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rsid w:val="00366FC0"/>
    <w:rPr>
      <w:rFonts w:asciiTheme="majorHAnsi" w:eastAsiaTheme="majorEastAsia" w:hAnsiTheme="majorHAnsi" w:cstheme="majorBidi"/>
      <w:i/>
      <w:iCs/>
      <w:color w:val="416420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rsid w:val="00366FC0"/>
    <w:rPr>
      <w:rFonts w:asciiTheme="majorHAnsi" w:eastAsiaTheme="majorEastAsia" w:hAnsiTheme="majorHAnsi" w:cstheme="majorBidi"/>
      <w:i/>
      <w:iCs/>
      <w:color w:val="5B636C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rsid w:val="00366FC0"/>
    <w:rPr>
      <w:rFonts w:asciiTheme="majorHAnsi" w:eastAsiaTheme="majorEastAsia" w:hAnsiTheme="majorHAnsi" w:cstheme="majorBidi"/>
      <w:color w:val="5B636C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366FC0"/>
    <w:rPr>
      <w:rFonts w:asciiTheme="majorHAnsi" w:eastAsiaTheme="majorEastAsia" w:hAnsiTheme="majorHAnsi" w:cstheme="majorBidi"/>
      <w:i/>
      <w:iCs/>
      <w:color w:val="5B636C" w:themeColor="text1" w:themeTint="BF"/>
      <w:sz w:val="20"/>
      <w:szCs w:val="20"/>
    </w:rPr>
  </w:style>
  <w:style w:type="paragraph" w:customStyle="1" w:styleId="GBCAHeading4ListNumberLevel2">
    <w:name w:val="GBCA Heading 4 (List Number Level 2)"/>
    <w:basedOn w:val="Heading4"/>
    <w:rsid w:val="00366FC0"/>
    <w:pPr>
      <w:keepNext w:val="0"/>
      <w:keepLines w:val="0"/>
      <w:numPr>
        <w:numId w:val="2"/>
      </w:numPr>
      <w:spacing w:before="120"/>
    </w:pPr>
    <w:rPr>
      <w:rFonts w:eastAsia="Times New Roman" w:cs="Times New Roman"/>
      <w:bCs w:val="0"/>
      <w:iCs w:val="0"/>
      <w:caps/>
      <w:color w:val="00B3F0"/>
      <w:lang w:val="en-US"/>
    </w:rPr>
  </w:style>
  <w:style w:type="paragraph" w:customStyle="1" w:styleId="HeadingSimilarStyle">
    <w:name w:val="Heading Similar Style"/>
    <w:basedOn w:val="Normal"/>
    <w:link w:val="HeadingSimilarStyleChar"/>
    <w:qFormat/>
    <w:rsid w:val="00366FC0"/>
    <w:pPr>
      <w:numPr>
        <w:ilvl w:val="1"/>
        <w:numId w:val="2"/>
      </w:numPr>
    </w:pPr>
    <w:rPr>
      <w:b/>
      <w:color w:val="00B3F0"/>
    </w:rPr>
  </w:style>
  <w:style w:type="character" w:customStyle="1" w:styleId="HeadingSimilarStyleChar">
    <w:name w:val="Heading Similar Style Char"/>
    <w:basedOn w:val="DefaultParagraphFont"/>
    <w:link w:val="HeadingSimilarStyle"/>
    <w:rsid w:val="00366FC0"/>
    <w:rPr>
      <w:rFonts w:ascii="Arial" w:hAnsi="Arial"/>
      <w:b/>
      <w:color w:val="00B3F0"/>
      <w:sz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66FC0"/>
    <w:pPr>
      <w:spacing w:line="728" w:lineRule="exact"/>
      <w:contextualSpacing/>
    </w:pPr>
    <w:rPr>
      <w:rFonts w:ascii="Arial Black" w:eastAsiaTheme="majorEastAsia" w:hAnsi="Arial Black" w:cstheme="majorBidi"/>
      <w:color w:val="8DC63F"/>
      <w:sz w:val="8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66FC0"/>
    <w:rPr>
      <w:rFonts w:ascii="Arial Black" w:eastAsiaTheme="majorEastAsia" w:hAnsi="Arial Black" w:cstheme="majorBidi"/>
      <w:color w:val="8DC63F"/>
      <w:sz w:val="84"/>
      <w:szCs w:val="52"/>
    </w:rPr>
  </w:style>
  <w:style w:type="paragraph" w:customStyle="1" w:styleId="TitlesubHeading">
    <w:name w:val="Title sub Heading"/>
    <w:basedOn w:val="Title"/>
    <w:qFormat/>
    <w:rsid w:val="00366FC0"/>
    <w:pPr>
      <w:spacing w:line="968" w:lineRule="exact"/>
    </w:pPr>
    <w:rPr>
      <w:rFonts w:ascii="Arial" w:hAnsi="Arial"/>
      <w:b/>
      <w:color w:val="auto"/>
    </w:rPr>
  </w:style>
  <w:style w:type="paragraph" w:customStyle="1" w:styleId="FirstnameLastname">
    <w:name w:val="Firstname Lastname"/>
    <w:basedOn w:val="Normal"/>
    <w:qFormat/>
    <w:rsid w:val="00366FC0"/>
    <w:pPr>
      <w:spacing w:line="336" w:lineRule="exact"/>
    </w:pPr>
    <w:rPr>
      <w:b/>
      <w:sz w:val="28"/>
    </w:rPr>
  </w:style>
  <w:style w:type="paragraph" w:customStyle="1" w:styleId="DateIssue">
    <w:name w:val="Date Issue"/>
    <w:basedOn w:val="FirstnameLastname"/>
    <w:qFormat/>
    <w:rsid w:val="00366FC0"/>
    <w:rPr>
      <w:b w:val="0"/>
    </w:rPr>
  </w:style>
  <w:style w:type="table" w:customStyle="1" w:styleId="LightShading1">
    <w:name w:val="Light Shading1"/>
    <w:basedOn w:val="TableNormal"/>
    <w:uiPriority w:val="60"/>
    <w:rsid w:val="00366FC0"/>
    <w:pPr>
      <w:spacing w:after="0" w:line="240" w:lineRule="auto"/>
    </w:pPr>
    <w:rPr>
      <w:color w:val="212326" w:themeColor="text1" w:themeShade="BF"/>
    </w:rPr>
    <w:tblPr>
      <w:tblStyleRowBandSize w:val="1"/>
      <w:tblStyleColBandSize w:val="1"/>
      <w:tblInd w:w="0" w:type="dxa"/>
      <w:tblBorders>
        <w:top w:val="single" w:sz="8" w:space="0" w:color="2C3034" w:themeColor="text1"/>
        <w:bottom w:val="single" w:sz="8" w:space="0" w:color="2C3034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3034" w:themeColor="text1"/>
          <w:left w:val="nil"/>
          <w:bottom w:val="single" w:sz="8" w:space="0" w:color="2C3034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3034" w:themeColor="text1"/>
          <w:left w:val="nil"/>
          <w:bottom w:val="single" w:sz="8" w:space="0" w:color="2C3034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CBD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7CBD0" w:themeFill="text1" w:themeFillTint="3F"/>
      </w:tcPr>
    </w:tblStylePr>
  </w:style>
  <w:style w:type="paragraph" w:customStyle="1" w:styleId="Tabletitle">
    <w:name w:val="Table title"/>
    <w:basedOn w:val="Heading1"/>
    <w:link w:val="TabletitleChar"/>
    <w:qFormat/>
    <w:rsid w:val="00366FC0"/>
    <w:pPr>
      <w:spacing w:after="113" w:line="336" w:lineRule="exact"/>
    </w:pPr>
    <w:rPr>
      <w:rFonts w:ascii="Arial" w:hAnsi="Arial"/>
      <w:b/>
      <w:sz w:val="28"/>
    </w:rPr>
  </w:style>
  <w:style w:type="character" w:customStyle="1" w:styleId="TabletitleChar">
    <w:name w:val="Table title Char"/>
    <w:basedOn w:val="Heading1Char"/>
    <w:link w:val="Tabletitle"/>
    <w:rsid w:val="00366FC0"/>
    <w:rPr>
      <w:rFonts w:ascii="Arial" w:hAnsi="Arial"/>
      <w:b/>
      <w:sz w:val="28"/>
    </w:rPr>
  </w:style>
  <w:style w:type="paragraph" w:customStyle="1" w:styleId="BodyoftextBulletPoint">
    <w:name w:val="Body of text – Bullet Point"/>
    <w:basedOn w:val="Normal"/>
    <w:link w:val="BodyoftextBulletPointChar"/>
    <w:qFormat/>
    <w:rsid w:val="00366FC0"/>
    <w:pPr>
      <w:numPr>
        <w:numId w:val="14"/>
      </w:numPr>
    </w:pPr>
  </w:style>
  <w:style w:type="character" w:customStyle="1" w:styleId="BodyoftextBulletPointChar">
    <w:name w:val="Body of text – Bullet Point Char"/>
    <w:basedOn w:val="DefaultParagraphFont"/>
    <w:link w:val="BodyoftextBulletPoint"/>
    <w:rsid w:val="00366FC0"/>
    <w:rPr>
      <w:rFonts w:ascii="Arial" w:hAnsi="Arial"/>
      <w:sz w:val="18"/>
    </w:rPr>
  </w:style>
  <w:style w:type="paragraph" w:customStyle="1" w:styleId="BodyofTextBulletpoint3rdlevel">
    <w:name w:val="Body of Text – Bullet point (3rd level)"/>
    <w:basedOn w:val="BodyoftextBulletPoint"/>
    <w:qFormat/>
    <w:rsid w:val="00366FC0"/>
    <w:pPr>
      <w:numPr>
        <w:numId w:val="15"/>
      </w:numPr>
      <w:ind w:left="284" w:hanging="284"/>
    </w:pPr>
  </w:style>
  <w:style w:type="paragraph" w:customStyle="1" w:styleId="BodyofTextBulletpoint2ndlevel">
    <w:name w:val="Body of Text – Bullet point (2nd level)"/>
    <w:basedOn w:val="BodyoftextBulletPoint"/>
    <w:link w:val="BodyofTextBulletpoint2ndlevelChar"/>
    <w:qFormat/>
    <w:rsid w:val="00366FC0"/>
    <w:pPr>
      <w:numPr>
        <w:numId w:val="16"/>
      </w:numPr>
    </w:pPr>
  </w:style>
  <w:style w:type="character" w:customStyle="1" w:styleId="BodyofTextBulletpoint2ndlevelChar">
    <w:name w:val="Body of Text – Bullet point (2nd level) Char"/>
    <w:basedOn w:val="BodyoftextBulletPointChar"/>
    <w:link w:val="BodyofTextBulletpoint2ndlevel"/>
    <w:rsid w:val="00366FC0"/>
  </w:style>
  <w:style w:type="character" w:customStyle="1" w:styleId="Documenttextunderlined">
    <w:name w:val="Document text underlined"/>
    <w:basedOn w:val="DefaultParagraphFont"/>
    <w:uiPriority w:val="1"/>
    <w:qFormat/>
    <w:rsid w:val="00366FC0"/>
    <w:rPr>
      <w:rFonts w:ascii="Arial" w:hAnsi="Arial"/>
      <w:sz w:val="18"/>
      <w:u w:val="single"/>
    </w:rPr>
  </w:style>
  <w:style w:type="character" w:customStyle="1" w:styleId="DocumentTextItalics">
    <w:name w:val="Document Text Italics"/>
    <w:basedOn w:val="DefaultParagraphFont"/>
    <w:uiPriority w:val="1"/>
    <w:qFormat/>
    <w:rsid w:val="00366FC0"/>
    <w:rPr>
      <w:rFonts w:ascii="Arial" w:hAnsi="Arial"/>
      <w:i/>
    </w:rPr>
  </w:style>
  <w:style w:type="character" w:customStyle="1" w:styleId="DocumentTextbody">
    <w:name w:val="Document Text (body)"/>
    <w:basedOn w:val="DefaultParagraphFont"/>
    <w:uiPriority w:val="1"/>
    <w:qFormat/>
    <w:rsid w:val="009E2022"/>
    <w:rPr>
      <w:color w:val="8FBF44" w:themeColor="accent6" w:themeShade="BF"/>
    </w:rPr>
  </w:style>
  <w:style w:type="character" w:customStyle="1" w:styleId="DocumentTextGreenBold">
    <w:name w:val="Document Text Green Bold"/>
    <w:basedOn w:val="DefaultParagraphFont"/>
    <w:uiPriority w:val="1"/>
    <w:qFormat/>
    <w:rsid w:val="00366FC0"/>
    <w:rPr>
      <w:b/>
      <w:color w:val="8DC63F" w:themeColor="text2"/>
    </w:rPr>
  </w:style>
  <w:style w:type="character" w:customStyle="1" w:styleId="DocumentTextBlackBold">
    <w:name w:val="Document Text Black Bold"/>
    <w:basedOn w:val="DefaultParagraphFont"/>
    <w:uiPriority w:val="1"/>
    <w:qFormat/>
    <w:rsid w:val="00366FC0"/>
    <w:rPr>
      <w:b/>
    </w:rPr>
  </w:style>
  <w:style w:type="character" w:customStyle="1" w:styleId="DocumentSuperscript">
    <w:name w:val="Document Superscript"/>
    <w:basedOn w:val="DocumentTextbody"/>
    <w:uiPriority w:val="1"/>
    <w:qFormat/>
    <w:rsid w:val="00366FC0"/>
    <w:rPr>
      <w:rFonts w:ascii="Arial" w:hAnsi="Arial"/>
      <w:sz w:val="18"/>
      <w:vertAlign w:val="superscript"/>
    </w:rPr>
  </w:style>
  <w:style w:type="character" w:customStyle="1" w:styleId="DocumentSubscript">
    <w:name w:val="Document Subscript"/>
    <w:basedOn w:val="DocumentTextbody"/>
    <w:uiPriority w:val="1"/>
    <w:qFormat/>
    <w:rsid w:val="00366FC0"/>
    <w:rPr>
      <w:rFonts w:ascii="Arial" w:hAnsi="Arial"/>
      <w:sz w:val="18"/>
      <w:vertAlign w:val="subscript"/>
    </w:rPr>
  </w:style>
  <w:style w:type="character" w:customStyle="1" w:styleId="Pagenumber">
    <w:name w:val="Page number"/>
    <w:basedOn w:val="DefaultParagraphFont"/>
    <w:uiPriority w:val="1"/>
    <w:qFormat/>
    <w:rsid w:val="00366FC0"/>
    <w:rPr>
      <w:b/>
    </w:rPr>
  </w:style>
  <w:style w:type="character" w:customStyle="1" w:styleId="Dateissued">
    <w:name w:val="Date issued"/>
    <w:basedOn w:val="DefaultParagraphFont"/>
    <w:uiPriority w:val="1"/>
    <w:qFormat/>
    <w:rsid w:val="00366FC0"/>
    <w:rPr>
      <w:rFonts w:ascii="Arial" w:hAnsi="Arial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66FC0"/>
    <w:rPr>
      <w:color w:val="808080"/>
    </w:rPr>
  </w:style>
  <w:style w:type="paragraph" w:customStyle="1" w:styleId="Bluetext">
    <w:name w:val="Blue text"/>
    <w:basedOn w:val="Normal"/>
    <w:qFormat/>
    <w:rsid w:val="00366FC0"/>
    <w:rPr>
      <w:color w:val="4CB2B3" w:themeColor="accent4"/>
    </w:rPr>
  </w:style>
  <w:style w:type="paragraph" w:customStyle="1" w:styleId="AdditionalpointNAclaimed">
    <w:name w:val="Additional point /NA claimed"/>
    <w:basedOn w:val="Normal"/>
    <w:autoRedefine/>
    <w:rsid w:val="00366FC0"/>
    <w:pPr>
      <w:shd w:val="clear" w:color="auto" w:fill="2C3034" w:themeFill="text1"/>
    </w:pPr>
    <w:rPr>
      <w:color w:val="FFFFFF" w:themeColor="background1"/>
    </w:rPr>
  </w:style>
  <w:style w:type="paragraph" w:customStyle="1" w:styleId="Numberedheading">
    <w:name w:val="Numbered heading"/>
    <w:basedOn w:val="Heading2"/>
    <w:autoRedefine/>
    <w:qFormat/>
    <w:rsid w:val="009E2022"/>
    <w:pPr>
      <w:numPr>
        <w:numId w:val="25"/>
      </w:numPr>
    </w:pPr>
  </w:style>
  <w:style w:type="paragraph" w:styleId="Caption">
    <w:name w:val="caption"/>
    <w:basedOn w:val="Normal"/>
    <w:next w:val="Normal"/>
    <w:uiPriority w:val="35"/>
    <w:unhideWhenUsed/>
    <w:qFormat/>
    <w:rsid w:val="00806C48"/>
    <w:pPr>
      <w:spacing w:line="240" w:lineRule="auto"/>
    </w:pPr>
    <w:rPr>
      <w:b/>
      <w:bCs/>
      <w:color w:val="84C447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6FC50A-0204-468E-BA93-A9BEBEA36D5A}"/>
      </w:docPartPr>
      <w:docPartBody>
        <w:p w:rsidR="000C0E6E" w:rsidRDefault="000C0E6E">
          <w:r w:rsidRPr="0041121D">
            <w:rPr>
              <w:rStyle w:val="PlaceholderText"/>
            </w:rPr>
            <w:t>Click here to enter a date.</w:t>
          </w:r>
        </w:p>
      </w:docPartBody>
    </w:docPart>
    <w:docPart>
      <w:docPartPr>
        <w:name w:val="519207C6E7BC405D92A4A94339135F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75D321-52BE-4C81-902D-85C94A7C1CC1}"/>
      </w:docPartPr>
      <w:docPartBody>
        <w:p w:rsidR="00C62F57" w:rsidRDefault="00EB2185" w:rsidP="00EB2185">
          <w:pPr>
            <w:pStyle w:val="519207C6E7BC405D92A4A94339135F02"/>
          </w:pPr>
          <w:r w:rsidRPr="001D1123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0C0E6E"/>
    <w:rsid w:val="000C0E6E"/>
    <w:rsid w:val="00C62F57"/>
    <w:rsid w:val="00EB2185"/>
    <w:rsid w:val="00F70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A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B2185"/>
    <w:rPr>
      <w:color w:val="808080"/>
    </w:rPr>
  </w:style>
  <w:style w:type="paragraph" w:customStyle="1" w:styleId="A250192E72CC48C3923DC3EC7CBF6F5A">
    <w:name w:val="A250192E72CC48C3923DC3EC7CBF6F5A"/>
    <w:rsid w:val="00EB2185"/>
  </w:style>
  <w:style w:type="paragraph" w:customStyle="1" w:styleId="519207C6E7BC405D92A4A94339135F02">
    <w:name w:val="519207C6E7BC405D92A4A94339135F02"/>
    <w:rsid w:val="00EB218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Green Star Corporate">
  <a:themeElements>
    <a:clrScheme name="Green Star Corporate Theme">
      <a:dk1>
        <a:srgbClr val="2C3034"/>
      </a:dk1>
      <a:lt1>
        <a:srgbClr val="FFFFFF"/>
      </a:lt1>
      <a:dk2>
        <a:srgbClr val="8DC63F"/>
      </a:dk2>
      <a:lt2>
        <a:srgbClr val="39B54A"/>
      </a:lt2>
      <a:accent1>
        <a:srgbClr val="84C447"/>
      </a:accent1>
      <a:accent2>
        <a:srgbClr val="39B54A"/>
      </a:accent2>
      <a:accent3>
        <a:srgbClr val="3F454F"/>
      </a:accent3>
      <a:accent4>
        <a:srgbClr val="4CB2B3"/>
      </a:accent4>
      <a:accent5>
        <a:srgbClr val="1F3862"/>
      </a:accent5>
      <a:accent6>
        <a:srgbClr val="B7D686"/>
      </a:accent6>
      <a:hlink>
        <a:srgbClr val="0000FF"/>
      </a:hlink>
      <a:folHlink>
        <a:srgbClr val="800080"/>
      </a:folHlink>
    </a:clrScheme>
    <a:fontScheme name="Green Star Corporat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4FCBB6-E7A7-44B0-BF42-6CFC2BD7B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emonavari</cp:lastModifiedBy>
  <cp:revision>2</cp:revision>
  <dcterms:created xsi:type="dcterms:W3CDTF">2013-11-04T22:53:00Z</dcterms:created>
  <dcterms:modified xsi:type="dcterms:W3CDTF">2013-11-04T22:53:00Z</dcterms:modified>
</cp:coreProperties>
</file>