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5B4F5F" w:rsidP="00F46F44">
      <w:pPr>
        <w:pStyle w:val="Heading1"/>
      </w:pPr>
      <w:bookmarkStart w:id="0" w:name="_Toc94610314"/>
      <w:bookmarkStart w:id="1" w:name="_Toc98301847"/>
      <w:r w:rsidRPr="005B4F5F">
        <w:rPr>
          <w:rStyle w:val="DocumentTextGreenBold"/>
        </w:rPr>
        <w:pict>
          <v:roundrect id="_x0000_s1026" style="position:absolute;margin-left:5316.9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F65DC2" w:rsidRPr="00FD57F2" w:rsidRDefault="00F65DC2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BD1433" w:rsidRPr="00BD1433">
        <w:rPr>
          <w:rStyle w:val="DocumentTextGreenBold"/>
        </w:rPr>
        <w:t xml:space="preserve">Green Star </w:t>
      </w:r>
      <w:r w:rsidR="00BD1433" w:rsidRPr="00BD1433">
        <w:rPr>
          <w:rStyle w:val="DocumentTextGreenBold"/>
        </w:rPr>
        <w:br/>
        <w:t>Short Report</w:t>
      </w:r>
      <w:r w:rsidR="00BD1433" w:rsidRPr="00BD1433">
        <w:rPr>
          <w:rStyle w:val="DocumentTextGreenBold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F46F44" w:rsidP="00460249">
      <w:pPr>
        <w:pStyle w:val="BodyText2"/>
        <w:rPr>
          <w:rStyle w:val="DocumentTextbody"/>
        </w:rPr>
      </w:pPr>
      <w:r>
        <w:rPr>
          <w:rStyle w:val="DocumentTextbody"/>
        </w:rPr>
        <w:t>Credit: Emi-</w:t>
      </w:r>
      <w:r w:rsidR="00B8616C">
        <w:rPr>
          <w:rStyle w:val="DocumentTextbody"/>
        </w:rPr>
        <w:t>7</w:t>
      </w:r>
      <w:r w:rsidR="00C12C3E">
        <w:rPr>
          <w:rStyle w:val="DocumentTextbody"/>
        </w:rPr>
        <w:t xml:space="preserve"> </w:t>
      </w:r>
      <w:r w:rsidR="00B8616C">
        <w:rPr>
          <w:rStyle w:val="DocumentTextbody"/>
        </w:rPr>
        <w:t>Light Pollution</w:t>
      </w:r>
      <w:r w:rsidR="007E353E">
        <w:rPr>
          <w:rStyle w:val="DocumentTextbody"/>
        </w:rPr>
        <w:t xml:space="preserve"> </w:t>
      </w:r>
      <w:r w:rsidR="00460249" w:rsidRPr="00FD57F2">
        <w:rPr>
          <w:rStyle w:val="DocumentTextbody"/>
        </w:rPr>
        <w:t xml:space="preserve"> 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B8616C">
        <w:rPr>
          <w:rFonts w:eastAsia="Calibri"/>
          <w:b w:val="0"/>
        </w:rPr>
        <w:t>1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  <w:sz w:val="22"/>
        </w:rPr>
        <w:t xml:space="preserve"> </w:t>
      </w:r>
      <w:r w:rsidRPr="00420C67">
        <w:rPr>
          <w:rStyle w:val="DocumentTextGreenBold"/>
          <w:color w:val="4CB2B3" w:themeColor="accent4"/>
        </w:rPr>
        <w:t>[</w:t>
      </w:r>
      <w:r w:rsidR="00B8616C">
        <w:rPr>
          <w:rStyle w:val="DocumentTextGreenBold"/>
          <w:color w:val="4CB2B3" w:themeColor="accent4"/>
        </w:rPr>
        <w:t>1</w:t>
      </w:r>
      <w:r w:rsidR="0099155A">
        <w:rPr>
          <w:rStyle w:val="DocumentTextGreenBold"/>
          <w:color w:val="4CB2B3" w:themeColor="accent4"/>
        </w:rPr>
        <w:t>]</w:t>
      </w:r>
    </w:p>
    <w:bookmarkEnd w:id="0"/>
    <w:bookmarkEnd w:id="1"/>
    <w:p w:rsidR="005B4F5F" w:rsidRDefault="005A1DEA">
      <w:pPr>
        <w:rPr>
          <w:i/>
        </w:rPr>
      </w:pPr>
      <w:r>
        <w:rPr>
          <w:i/>
        </w:rPr>
        <w:t>NB: this Short Report template has been written in accordance with Emi-7 Correction 7</w:t>
      </w:r>
      <w:r w:rsidR="00AC0F80">
        <w:rPr>
          <w:i/>
        </w:rPr>
        <w:t xml:space="preserve">, Emi-7 Doc (Design) A </w:t>
      </w:r>
    </w:p>
    <w:tbl>
      <w:tblPr>
        <w:tblW w:w="10495" w:type="dxa"/>
        <w:tblInd w:w="103" w:type="dxa"/>
        <w:tblLook w:val="04A0"/>
      </w:tblPr>
      <w:tblGrid>
        <w:gridCol w:w="844"/>
        <w:gridCol w:w="1375"/>
        <w:gridCol w:w="1427"/>
        <w:gridCol w:w="835"/>
        <w:gridCol w:w="6014"/>
      </w:tblGrid>
      <w:tr w:rsidR="001A607F" w:rsidRPr="001A607F" w:rsidTr="001A607F">
        <w:trPr>
          <w:trHeight w:val="229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7F" w:rsidRPr="001A607F" w:rsidRDefault="001A607F" w:rsidP="001A60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1A607F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Emi-7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607F" w:rsidRPr="001A607F" w:rsidRDefault="001A607F" w:rsidP="001A607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1A607F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Light Pollution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7F" w:rsidRPr="001A607F" w:rsidRDefault="001A607F" w:rsidP="001A60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>Correction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7F" w:rsidRPr="001A607F" w:rsidRDefault="001A607F" w:rsidP="001A60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7F" w:rsidRPr="001A607F" w:rsidRDefault="001A607F" w:rsidP="001A60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The following credit criteria is acceptable as an alternative to the credit criteria described in the technical manual: </w:t>
            </w: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</w: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  <w:t>One point is awarded where</w:t>
            </w:r>
            <w:proofErr w:type="gramStart"/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>:</w:t>
            </w:r>
            <w:proofErr w:type="gramEnd"/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  <w:t xml:space="preserve">- No external </w:t>
            </w:r>
            <w:proofErr w:type="spellStart"/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>luminaire</w:t>
            </w:r>
            <w:proofErr w:type="spellEnd"/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has an upward light output ratio that exceeds 5%;</w:t>
            </w: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  <w:t>- The lighting design complies with AS4282 ‘Control of the Obtrusive Effects of Outdoor Lighting’.</w:t>
            </w: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</w: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  <w:t>Definition of 'Upward light output ratio' as per AS1158.0:2005:</w:t>
            </w: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  <w:t xml:space="preserve">           The ratio of the luminous flux emitted by a </w:t>
            </w:r>
            <w:proofErr w:type="spellStart"/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>luminaire</w:t>
            </w:r>
            <w:proofErr w:type="spellEnd"/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above the horizontal to that emitted by the lamp.</w:t>
            </w:r>
          </w:p>
        </w:tc>
      </w:tr>
      <w:tr w:rsidR="001A607F" w:rsidRPr="001A607F" w:rsidTr="001A607F">
        <w:trPr>
          <w:trHeight w:val="6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7F" w:rsidRPr="001A607F" w:rsidRDefault="001A607F" w:rsidP="001A60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1A607F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Emi-7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607F" w:rsidRPr="001A607F" w:rsidRDefault="001A607F" w:rsidP="001A607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1A607F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Light Pollution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7F" w:rsidRPr="001A607F" w:rsidRDefault="001A607F" w:rsidP="001A60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>Documentation</w:t>
            </w: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  <w:t>(Design)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7F" w:rsidRPr="001A607F" w:rsidRDefault="001A607F" w:rsidP="001A607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>A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7F" w:rsidRPr="001A607F" w:rsidRDefault="001A607F" w:rsidP="001A60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>The below documentation guideline can only be used in conjunction with Emi-7 Technical Clarification No. 1</w:t>
            </w: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</w: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  <w:t>Based on feedback from the assessors and project teams, the following documentation is no longer required at the time of a Green Star - Design submission for this credit:</w:t>
            </w: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  <w:t>*Extracts from the specification(s).</w:t>
            </w: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</w: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  <w:t>Furthermore, the following documentation is being modified to now read:</w:t>
            </w: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  <w:t>* Short report from the lighting engineer describing how the Credit Criteria have been met by:</w:t>
            </w: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  <w:t xml:space="preserve">   - Detailing the external and atrium lighting on the site, the areas illuminated, calculations and illumination diagrams (including horizontal and vertical light distribution), and referencing the photometric data included in the </w:t>
            </w:r>
            <w:proofErr w:type="spellStart"/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>luminaire</w:t>
            </w:r>
            <w:proofErr w:type="spellEnd"/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schedule to demonstrate that no light spill is impacting the night sky or neighbouring properties in accordance with AS4282 1997.</w:t>
            </w: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  <w:t xml:space="preserve">* </w:t>
            </w:r>
            <w:proofErr w:type="spellStart"/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>Luminaire</w:t>
            </w:r>
            <w:proofErr w:type="spellEnd"/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Schedule for all external lighting (and lighting within glazed atria where applicable), nominating the type, lighting distribution and quantity of each </w:t>
            </w:r>
            <w:proofErr w:type="spellStart"/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>luminaire</w:t>
            </w:r>
            <w:proofErr w:type="spellEnd"/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and including the relevant photometric </w:t>
            </w:r>
            <w:proofErr w:type="gramStart"/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>data showing</w:t>
            </w:r>
            <w:proofErr w:type="gramEnd"/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that the </w:t>
            </w:r>
            <w:proofErr w:type="spellStart"/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>luminaires</w:t>
            </w:r>
            <w:proofErr w:type="spellEnd"/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 do not have an upward light output ratio that exceeds 5%.</w:t>
            </w: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</w:r>
            <w:r w:rsidRPr="001A607F">
              <w:rPr>
                <w:rFonts w:eastAsia="Times New Roman" w:cstheme="minorHAnsi"/>
                <w:sz w:val="18"/>
                <w:szCs w:val="18"/>
                <w:lang w:eastAsia="en-AU"/>
              </w:rPr>
              <w:br/>
              <w:t xml:space="preserve">All other documentation must be provided as per the technical manual at the time of submission. </w:t>
            </w:r>
          </w:p>
        </w:tc>
      </w:tr>
    </w:tbl>
    <w:p w:rsidR="001A607F" w:rsidRDefault="001A607F">
      <w:pPr>
        <w:rPr>
          <w:i/>
        </w:rPr>
      </w:pPr>
    </w:p>
    <w:p w:rsidR="005B4F5F" w:rsidRDefault="007E0C5A">
      <w:pPr>
        <w:pStyle w:val="Numberedheading"/>
      </w:pPr>
      <w:r>
        <w:lastRenderedPageBreak/>
        <w:t xml:space="preserve">1. </w:t>
      </w:r>
      <w:r w:rsidR="00AC0F80">
        <w:t>External Lighting</w:t>
      </w:r>
      <w:r w:rsidR="008B5C79">
        <w:t xml:space="preserve"> Description</w:t>
      </w:r>
    </w:p>
    <w:p w:rsidR="005B4F5F" w:rsidRDefault="00AC0F80" w:rsidP="001A607F">
      <w:pPr>
        <w:pStyle w:val="Bluetext"/>
      </w:pPr>
      <w:r>
        <w:t>[Please introduce the assessors to the external lighting on site. This section should briefly summarise the external areas which are lit and the lighting approach adopted]</w:t>
      </w:r>
    </w:p>
    <w:p w:rsidR="005B4F5F" w:rsidRDefault="007E0C5A">
      <w:pPr>
        <w:pStyle w:val="Numberedheading"/>
      </w:pPr>
      <w:r>
        <w:t xml:space="preserve">2. </w:t>
      </w:r>
      <w:r w:rsidR="00AC0F80" w:rsidRPr="00AC0F80">
        <w:t>Atrium</w:t>
      </w:r>
      <w:r w:rsidR="008B5C79">
        <w:t xml:space="preserve"> Lighting Description</w:t>
      </w:r>
    </w:p>
    <w:p w:rsidR="00AC0F80" w:rsidRDefault="00AC0F80" w:rsidP="001A607F">
      <w:pPr>
        <w:pStyle w:val="Bluetext"/>
      </w:pPr>
      <w:r>
        <w:t>[Please nominate whether or not the project includes an atrium. If an atrium is present, please summarise the lighting used within this space]</w:t>
      </w:r>
    </w:p>
    <w:p w:rsidR="005B4F5F" w:rsidRDefault="007E0C5A">
      <w:pPr>
        <w:pStyle w:val="Numberedheading"/>
      </w:pPr>
      <w:r>
        <w:t xml:space="preserve">3. </w:t>
      </w:r>
      <w:r w:rsidR="008B5C79">
        <w:t xml:space="preserve">External Lighting </w:t>
      </w:r>
      <w:r w:rsidR="00AC0F80" w:rsidRPr="00AC0F80">
        <w:t>Upward Light Ratio</w:t>
      </w:r>
    </w:p>
    <w:p w:rsidR="00AC0F80" w:rsidRDefault="00F65DC2" w:rsidP="00AC0F80">
      <w:pPr>
        <w:rPr>
          <w:szCs w:val="20"/>
        </w:rPr>
      </w:pPr>
      <w:r>
        <w:rPr>
          <w:szCs w:val="20"/>
        </w:rPr>
        <w:t xml:space="preserve">As demonstrated in the table below, no external </w:t>
      </w:r>
      <w:proofErr w:type="spellStart"/>
      <w:r>
        <w:rPr>
          <w:szCs w:val="20"/>
        </w:rPr>
        <w:t>luminaires</w:t>
      </w:r>
      <w:proofErr w:type="spellEnd"/>
      <w:r>
        <w:rPr>
          <w:szCs w:val="20"/>
        </w:rPr>
        <w:t xml:space="preserve"> used within the project have an upward light ratio that exceeds 5%.</w:t>
      </w:r>
    </w:p>
    <w:p w:rsidR="007E0C5A" w:rsidRPr="00FD1248" w:rsidRDefault="007E0C5A" w:rsidP="00AC0F80">
      <w:pPr>
        <w:rPr>
          <w:b/>
          <w:szCs w:val="20"/>
        </w:rPr>
      </w:pPr>
      <w:r w:rsidRPr="00FD1248">
        <w:rPr>
          <w:b/>
          <w:szCs w:val="20"/>
        </w:rPr>
        <w:t>Table 1</w:t>
      </w:r>
      <w:r w:rsidR="00FD1248">
        <w:rPr>
          <w:b/>
          <w:szCs w:val="20"/>
        </w:rPr>
        <w:t>: Upward light ratio</w:t>
      </w:r>
    </w:p>
    <w:tbl>
      <w:tblPr>
        <w:tblStyle w:val="TableGrid"/>
        <w:tblW w:w="0" w:type="auto"/>
        <w:tblLook w:val="04A0"/>
      </w:tblPr>
      <w:tblGrid>
        <w:gridCol w:w="2638"/>
        <w:gridCol w:w="2642"/>
        <w:gridCol w:w="2624"/>
        <w:gridCol w:w="2642"/>
      </w:tblGrid>
      <w:tr w:rsidR="008B5C79" w:rsidTr="008B5C79">
        <w:trPr>
          <w:cnfStyle w:val="100000000000"/>
        </w:trPr>
        <w:tc>
          <w:tcPr>
            <w:cnfStyle w:val="001000000000"/>
            <w:tcW w:w="2690" w:type="dxa"/>
          </w:tcPr>
          <w:p w:rsidR="008B5C79" w:rsidRPr="00FD1248" w:rsidRDefault="00BD1433" w:rsidP="00AC0F80">
            <w:pPr>
              <w:rPr>
                <w:sz w:val="22"/>
                <w:szCs w:val="22"/>
              </w:rPr>
            </w:pPr>
            <w:proofErr w:type="spellStart"/>
            <w:r w:rsidRPr="00FD1248">
              <w:rPr>
                <w:sz w:val="22"/>
                <w:szCs w:val="22"/>
              </w:rPr>
              <w:t>Luminaire</w:t>
            </w:r>
            <w:proofErr w:type="spellEnd"/>
          </w:p>
        </w:tc>
        <w:tc>
          <w:tcPr>
            <w:tcW w:w="2690" w:type="dxa"/>
          </w:tcPr>
          <w:p w:rsidR="008B5C79" w:rsidRPr="00FD1248" w:rsidRDefault="00BD1433" w:rsidP="00AC0F80">
            <w:pPr>
              <w:spacing w:before="0" w:after="200" w:line="276" w:lineRule="auto"/>
              <w:cnfStyle w:val="100000000000"/>
              <w:rPr>
                <w:sz w:val="22"/>
                <w:szCs w:val="22"/>
              </w:rPr>
            </w:pPr>
            <w:r w:rsidRPr="00FD1248">
              <w:rPr>
                <w:sz w:val="22"/>
                <w:szCs w:val="22"/>
              </w:rPr>
              <w:t>Description</w:t>
            </w:r>
          </w:p>
        </w:tc>
        <w:tc>
          <w:tcPr>
            <w:tcW w:w="2691" w:type="dxa"/>
          </w:tcPr>
          <w:p w:rsidR="008B5C79" w:rsidRPr="00FD1248" w:rsidRDefault="00BD1433" w:rsidP="00AC0F80">
            <w:pPr>
              <w:spacing w:before="0" w:after="200" w:line="276" w:lineRule="auto"/>
              <w:cnfStyle w:val="100000000000"/>
              <w:rPr>
                <w:sz w:val="22"/>
                <w:szCs w:val="22"/>
              </w:rPr>
            </w:pPr>
            <w:r w:rsidRPr="00FD1248">
              <w:rPr>
                <w:sz w:val="22"/>
                <w:szCs w:val="22"/>
              </w:rPr>
              <w:t>Areas Used</w:t>
            </w:r>
          </w:p>
        </w:tc>
        <w:tc>
          <w:tcPr>
            <w:tcW w:w="2691" w:type="dxa"/>
          </w:tcPr>
          <w:p w:rsidR="008B5C79" w:rsidRPr="00FD1248" w:rsidRDefault="00BD1433" w:rsidP="00AC0F80">
            <w:pPr>
              <w:spacing w:before="0" w:after="200" w:line="276" w:lineRule="auto"/>
              <w:cnfStyle w:val="100000000000"/>
              <w:rPr>
                <w:sz w:val="22"/>
                <w:szCs w:val="22"/>
              </w:rPr>
            </w:pPr>
            <w:r w:rsidRPr="00FD1248">
              <w:rPr>
                <w:sz w:val="22"/>
                <w:szCs w:val="22"/>
              </w:rPr>
              <w:t>Upward light component</w:t>
            </w:r>
          </w:p>
        </w:tc>
      </w:tr>
      <w:tr w:rsidR="008B5C79" w:rsidTr="008B5C79">
        <w:trPr>
          <w:cnfStyle w:val="000000100000"/>
        </w:trPr>
        <w:tc>
          <w:tcPr>
            <w:cnfStyle w:val="001000000000"/>
            <w:tcW w:w="2690" w:type="dxa"/>
          </w:tcPr>
          <w:p w:rsidR="008B5C79" w:rsidRPr="008B5C79" w:rsidRDefault="00BD1433" w:rsidP="00AC0F80">
            <w:pPr>
              <w:spacing w:before="0" w:after="200" w:line="276" w:lineRule="auto"/>
              <w:rPr>
                <w:b w:val="0"/>
              </w:rPr>
            </w:pPr>
            <w:r w:rsidRPr="00BD1433">
              <w:rPr>
                <w:sz w:val="18"/>
              </w:rPr>
              <w:t>E.g. 'A'</w:t>
            </w:r>
          </w:p>
        </w:tc>
        <w:tc>
          <w:tcPr>
            <w:tcW w:w="2690" w:type="dxa"/>
          </w:tcPr>
          <w:p w:rsidR="008B5C79" w:rsidRDefault="008B5C79" w:rsidP="00AC0F80">
            <w:pPr>
              <w:cnfStyle w:val="000000100000"/>
            </w:pPr>
            <w:r>
              <w:t>E.g. 9W LED</w:t>
            </w:r>
          </w:p>
        </w:tc>
        <w:tc>
          <w:tcPr>
            <w:tcW w:w="2691" w:type="dxa"/>
          </w:tcPr>
          <w:p w:rsidR="008B5C79" w:rsidRDefault="008B5C79" w:rsidP="00AC0F80">
            <w:pPr>
              <w:cnfStyle w:val="000000100000"/>
            </w:pPr>
            <w:r>
              <w:t xml:space="preserve">E.g. North fence </w:t>
            </w:r>
          </w:p>
        </w:tc>
        <w:tc>
          <w:tcPr>
            <w:tcW w:w="2691" w:type="dxa"/>
          </w:tcPr>
          <w:p w:rsidR="008B5C79" w:rsidRDefault="008B5C79" w:rsidP="008B5C79">
            <w:pPr>
              <w:cnfStyle w:val="000000100000"/>
            </w:pPr>
            <w:r>
              <w:t>E.g. None. These lights are mounted...</w:t>
            </w:r>
          </w:p>
        </w:tc>
      </w:tr>
      <w:tr w:rsidR="008B5C79" w:rsidTr="008B5C79">
        <w:tc>
          <w:tcPr>
            <w:cnfStyle w:val="001000000000"/>
            <w:tcW w:w="2690" w:type="dxa"/>
          </w:tcPr>
          <w:p w:rsidR="008B5C79" w:rsidRDefault="008B5C79" w:rsidP="00AC0F80"/>
        </w:tc>
        <w:tc>
          <w:tcPr>
            <w:tcW w:w="2690" w:type="dxa"/>
          </w:tcPr>
          <w:p w:rsidR="008B5C79" w:rsidRDefault="008B5C79" w:rsidP="00AC0F80">
            <w:pPr>
              <w:cnfStyle w:val="000000000000"/>
            </w:pPr>
          </w:p>
        </w:tc>
        <w:tc>
          <w:tcPr>
            <w:tcW w:w="2691" w:type="dxa"/>
          </w:tcPr>
          <w:p w:rsidR="008B5C79" w:rsidRDefault="008B5C79" w:rsidP="00AC0F80">
            <w:pPr>
              <w:cnfStyle w:val="000000000000"/>
            </w:pPr>
          </w:p>
        </w:tc>
        <w:tc>
          <w:tcPr>
            <w:tcW w:w="2691" w:type="dxa"/>
          </w:tcPr>
          <w:p w:rsidR="008B5C79" w:rsidRDefault="008B5C79" w:rsidP="00AC0F80">
            <w:pPr>
              <w:cnfStyle w:val="000000000000"/>
            </w:pPr>
          </w:p>
        </w:tc>
      </w:tr>
    </w:tbl>
    <w:p w:rsidR="008B5C79" w:rsidRDefault="008B5C79" w:rsidP="00AC0F80">
      <w:pPr>
        <w:rPr>
          <w:szCs w:val="20"/>
        </w:rPr>
      </w:pPr>
    </w:p>
    <w:p w:rsidR="008B5C79" w:rsidRDefault="008B5C79" w:rsidP="008B5C79">
      <w:pPr>
        <w:pStyle w:val="Bluetext"/>
      </w:pPr>
      <w:r>
        <w:t>[Please insert hyperlinks to documents which support these claims]</w:t>
      </w:r>
    </w:p>
    <w:p w:rsidR="00037FA7" w:rsidRPr="00037FA7" w:rsidRDefault="00037FA7" w:rsidP="00037FA7">
      <w:pPr>
        <w:pStyle w:val="Bluetext"/>
      </w:pPr>
    </w:p>
    <w:p w:rsidR="005B4F5F" w:rsidRDefault="007E0C5A">
      <w:pPr>
        <w:pStyle w:val="Numberedheading"/>
        <w:rPr>
          <w:rStyle w:val="DocumentTextGreenBold"/>
          <w:rFonts w:eastAsiaTheme="minorHAnsi" w:cstheme="minorBidi"/>
          <w:b/>
          <w:bCs w:val="0"/>
          <w:sz w:val="22"/>
          <w:szCs w:val="22"/>
        </w:rPr>
      </w:pPr>
      <w:r>
        <w:t xml:space="preserve">4. </w:t>
      </w:r>
      <w:r w:rsidR="00037FA7" w:rsidRPr="004D6526">
        <w:t>Compliance</w:t>
      </w:r>
      <w:r w:rsidR="00037FA7">
        <w:rPr>
          <w:rStyle w:val="DocumentTextGreenBold"/>
          <w:b/>
        </w:rPr>
        <w:t xml:space="preserve"> with AS4282 ‘Control of Obtrusive Effects of Outdoor Lighting’</w:t>
      </w:r>
    </w:p>
    <w:p w:rsidR="005251C4" w:rsidRDefault="00037FA7" w:rsidP="00037FA7">
      <w:pPr>
        <w:pStyle w:val="Bluetext"/>
        <w:rPr>
          <w:color w:val="auto"/>
        </w:rPr>
      </w:pPr>
      <w:r w:rsidRPr="00037FA7">
        <w:rPr>
          <w:color w:val="auto"/>
        </w:rPr>
        <w:t xml:space="preserve">The </w:t>
      </w:r>
      <w:r>
        <w:rPr>
          <w:color w:val="auto"/>
        </w:rPr>
        <w:t xml:space="preserve">lighting provided to external areas of the building </w:t>
      </w:r>
      <w:r w:rsidR="001A1E32">
        <w:rPr>
          <w:color w:val="auto"/>
        </w:rPr>
        <w:t>complies</w:t>
      </w:r>
      <w:r>
        <w:rPr>
          <w:color w:val="auto"/>
        </w:rPr>
        <w:t xml:space="preserve"> with AS4282 ‘Control of Obtrusive Effects of Outdoor Lighting’. </w:t>
      </w:r>
    </w:p>
    <w:p w:rsidR="008B5C79" w:rsidRPr="00F65DC2" w:rsidRDefault="00BD1433" w:rsidP="00037FA7">
      <w:pPr>
        <w:pStyle w:val="Bluetext"/>
        <w:rPr>
          <w:i/>
          <w:color w:val="auto"/>
        </w:rPr>
      </w:pPr>
      <w:r w:rsidRPr="00BD1433">
        <w:rPr>
          <w:i/>
          <w:color w:val="auto"/>
        </w:rPr>
        <w:t>NB: compliance with AS4282 ‘Control of Obtrusive Effects of Outdoor Lighting’ must be demonstrated for all buildings which intend to target points for this credit, regardless of their location.</w:t>
      </w:r>
    </w:p>
    <w:p w:rsidR="00F65DC2" w:rsidRDefault="00F65DC2" w:rsidP="00037FA7">
      <w:pPr>
        <w:pStyle w:val="Bluetext"/>
        <w:rPr>
          <w:color w:val="auto"/>
        </w:rPr>
      </w:pPr>
      <w:r>
        <w:rPr>
          <w:color w:val="auto"/>
        </w:rPr>
        <w:t>This project has undertaken modelling of light levels at the site boundary in accordance with AS4282 clause 2.7. The results of this</w:t>
      </w:r>
      <w:r w:rsidR="007E0C5A">
        <w:rPr>
          <w:color w:val="auto"/>
        </w:rPr>
        <w:t xml:space="preserve"> modelling are summarised below:</w:t>
      </w:r>
    </w:p>
    <w:p w:rsidR="007E0C5A" w:rsidRPr="00FD1248" w:rsidRDefault="007E0C5A" w:rsidP="00037FA7">
      <w:pPr>
        <w:pStyle w:val="Bluetext"/>
        <w:rPr>
          <w:b/>
          <w:color w:val="auto"/>
        </w:rPr>
      </w:pPr>
      <w:r w:rsidRPr="00FD1248">
        <w:rPr>
          <w:b/>
          <w:color w:val="auto"/>
        </w:rPr>
        <w:t>Table 2: Maximum light level at boundary in accordance with AS4282 Table 2.1</w:t>
      </w:r>
    </w:p>
    <w:tbl>
      <w:tblPr>
        <w:tblStyle w:val="TableGrid"/>
        <w:tblW w:w="0" w:type="auto"/>
        <w:tblLook w:val="04A0"/>
      </w:tblPr>
      <w:tblGrid>
        <w:gridCol w:w="2653"/>
        <w:gridCol w:w="2653"/>
        <w:gridCol w:w="2620"/>
      </w:tblGrid>
      <w:tr w:rsidR="007E0C5A" w:rsidRPr="007E0C5A" w:rsidTr="007E0C5A">
        <w:trPr>
          <w:cnfStyle w:val="100000000000"/>
        </w:trPr>
        <w:tc>
          <w:tcPr>
            <w:cnfStyle w:val="001000000000"/>
            <w:tcW w:w="2653" w:type="dxa"/>
          </w:tcPr>
          <w:p w:rsidR="007E0C5A" w:rsidRPr="00FD1248" w:rsidRDefault="00BD1433" w:rsidP="00037FA7">
            <w:pPr>
              <w:pStyle w:val="Bluetext"/>
              <w:spacing w:before="0" w:after="200" w:line="276" w:lineRule="auto"/>
              <w:rPr>
                <w:color w:val="auto"/>
                <w:sz w:val="22"/>
                <w:szCs w:val="22"/>
              </w:rPr>
            </w:pPr>
            <w:r w:rsidRPr="00FD1248">
              <w:rPr>
                <w:rFonts w:eastAsiaTheme="minorHAnsi" w:cstheme="minorBidi"/>
                <w:color w:val="auto"/>
                <w:sz w:val="22"/>
                <w:szCs w:val="22"/>
              </w:rPr>
              <w:t>Boundary</w:t>
            </w:r>
          </w:p>
        </w:tc>
        <w:tc>
          <w:tcPr>
            <w:tcW w:w="2653" w:type="dxa"/>
          </w:tcPr>
          <w:p w:rsidR="007E0C5A" w:rsidRPr="00FD1248" w:rsidRDefault="00BD1433" w:rsidP="007E0C5A">
            <w:pPr>
              <w:pStyle w:val="Bluetext"/>
              <w:spacing w:before="0" w:after="200" w:line="276" w:lineRule="auto"/>
              <w:cnfStyle w:val="100000000000"/>
              <w:rPr>
                <w:color w:val="auto"/>
                <w:sz w:val="22"/>
                <w:szCs w:val="22"/>
              </w:rPr>
            </w:pPr>
            <w:r w:rsidRPr="00FD1248">
              <w:rPr>
                <w:rFonts w:eastAsiaTheme="minorHAnsi" w:cstheme="minorBidi"/>
                <w:color w:val="auto"/>
                <w:sz w:val="22"/>
                <w:szCs w:val="22"/>
              </w:rPr>
              <w:t xml:space="preserve">Maximum </w:t>
            </w:r>
            <w:proofErr w:type="spellStart"/>
            <w:r w:rsidRPr="00FD1248">
              <w:rPr>
                <w:rFonts w:eastAsiaTheme="minorHAnsi" w:cstheme="minorBidi"/>
                <w:color w:val="auto"/>
                <w:sz w:val="22"/>
                <w:szCs w:val="22"/>
              </w:rPr>
              <w:t>illuminance</w:t>
            </w:r>
            <w:proofErr w:type="spellEnd"/>
            <w:r w:rsidRPr="00FD1248">
              <w:rPr>
                <w:rFonts w:eastAsiaTheme="minorHAnsi" w:cstheme="minorBidi"/>
                <w:color w:val="auto"/>
                <w:sz w:val="22"/>
                <w:szCs w:val="22"/>
              </w:rPr>
              <w:t xml:space="preserve"> in vertical plane</w:t>
            </w:r>
          </w:p>
        </w:tc>
        <w:tc>
          <w:tcPr>
            <w:tcW w:w="2620" w:type="dxa"/>
          </w:tcPr>
          <w:p w:rsidR="007E0C5A" w:rsidRPr="00FD1248" w:rsidRDefault="00BD1433" w:rsidP="00037FA7">
            <w:pPr>
              <w:pStyle w:val="Bluetext"/>
              <w:spacing w:before="0" w:after="200" w:line="276" w:lineRule="auto"/>
              <w:cnfStyle w:val="100000000000"/>
              <w:rPr>
                <w:color w:val="auto"/>
                <w:sz w:val="22"/>
                <w:szCs w:val="22"/>
              </w:rPr>
            </w:pPr>
            <w:r w:rsidRPr="00FD1248">
              <w:rPr>
                <w:rFonts w:eastAsiaTheme="minorHAnsi" w:cstheme="minorBidi"/>
                <w:color w:val="auto"/>
                <w:sz w:val="22"/>
                <w:szCs w:val="22"/>
              </w:rPr>
              <w:t xml:space="preserve">Compliance with </w:t>
            </w:r>
            <w:r w:rsidR="007E0C5A" w:rsidRPr="00FD1248">
              <w:rPr>
                <w:color w:val="auto"/>
                <w:sz w:val="22"/>
                <w:szCs w:val="22"/>
              </w:rPr>
              <w:t xml:space="preserve">AS4282 </w:t>
            </w:r>
            <w:r w:rsidRPr="00FD1248">
              <w:rPr>
                <w:rFonts w:eastAsiaTheme="minorHAnsi" w:cstheme="minorBidi"/>
                <w:color w:val="auto"/>
                <w:sz w:val="22"/>
                <w:szCs w:val="22"/>
              </w:rPr>
              <w:t>Table 2.1?</w:t>
            </w:r>
          </w:p>
        </w:tc>
      </w:tr>
      <w:tr w:rsidR="007E0C5A" w:rsidTr="007E0C5A">
        <w:trPr>
          <w:cnfStyle w:val="000000100000"/>
        </w:trPr>
        <w:tc>
          <w:tcPr>
            <w:cnfStyle w:val="001000000000"/>
            <w:tcW w:w="2653" w:type="dxa"/>
          </w:tcPr>
          <w:p w:rsidR="007E0C5A" w:rsidRPr="007E0C5A" w:rsidRDefault="00BD1433" w:rsidP="00037FA7">
            <w:pPr>
              <w:pStyle w:val="Bluetext"/>
              <w:spacing w:before="0" w:after="200" w:line="276" w:lineRule="auto"/>
              <w:rPr>
                <w:b w:val="0"/>
                <w:color w:val="auto"/>
                <w:sz w:val="18"/>
                <w:szCs w:val="18"/>
              </w:rPr>
            </w:pPr>
            <w:r w:rsidRPr="00BD1433">
              <w:rPr>
                <w:rFonts w:eastAsiaTheme="minorHAnsi" w:cstheme="minorBidi"/>
                <w:b w:val="0"/>
                <w:color w:val="auto"/>
                <w:sz w:val="18"/>
                <w:szCs w:val="18"/>
              </w:rPr>
              <w:t>E.g. Northern boundary</w:t>
            </w:r>
          </w:p>
        </w:tc>
        <w:tc>
          <w:tcPr>
            <w:tcW w:w="2653" w:type="dxa"/>
          </w:tcPr>
          <w:p w:rsidR="007E0C5A" w:rsidRPr="007E0C5A" w:rsidRDefault="007E0C5A" w:rsidP="00037FA7">
            <w:pPr>
              <w:pStyle w:val="Bluetext"/>
              <w:spacing w:before="0" w:after="200" w:line="276" w:lineRule="auto"/>
              <w:cnfStyle w:val="000000100000"/>
              <w:rPr>
                <w:color w:val="auto"/>
                <w:szCs w:val="18"/>
              </w:rPr>
            </w:pPr>
            <w:r w:rsidRPr="007E0C5A">
              <w:rPr>
                <w:color w:val="auto"/>
                <w:szCs w:val="18"/>
              </w:rPr>
              <w:t>15</w:t>
            </w:r>
            <w:r w:rsidR="00BD1433" w:rsidRPr="00BD1433">
              <w:rPr>
                <w:rFonts w:eastAsiaTheme="minorHAnsi" w:cstheme="minorBidi"/>
                <w:color w:val="auto"/>
                <w:sz w:val="22"/>
                <w:szCs w:val="18"/>
              </w:rPr>
              <w:t xml:space="preserve"> </w:t>
            </w:r>
            <w:proofErr w:type="spellStart"/>
            <w:r w:rsidR="00BD1433" w:rsidRPr="00BD1433">
              <w:rPr>
                <w:rFonts w:eastAsiaTheme="minorHAnsi" w:cstheme="minorBidi"/>
                <w:color w:val="auto"/>
                <w:sz w:val="22"/>
                <w:szCs w:val="18"/>
              </w:rPr>
              <w:t>lux</w:t>
            </w:r>
            <w:proofErr w:type="spellEnd"/>
          </w:p>
        </w:tc>
        <w:tc>
          <w:tcPr>
            <w:tcW w:w="2620" w:type="dxa"/>
          </w:tcPr>
          <w:p w:rsidR="007E0C5A" w:rsidRPr="007E0C5A" w:rsidRDefault="00BD1433" w:rsidP="00037FA7">
            <w:pPr>
              <w:pStyle w:val="Bluetext"/>
              <w:spacing w:before="0" w:after="200" w:line="276" w:lineRule="auto"/>
              <w:cnfStyle w:val="000000100000"/>
              <w:rPr>
                <w:color w:val="auto"/>
                <w:szCs w:val="18"/>
              </w:rPr>
            </w:pPr>
            <w:r w:rsidRPr="00BD1433">
              <w:rPr>
                <w:rFonts w:eastAsiaTheme="minorHAnsi" w:cstheme="minorBidi"/>
                <w:color w:val="auto"/>
                <w:sz w:val="22"/>
                <w:szCs w:val="18"/>
              </w:rPr>
              <w:t>E.g. yes</w:t>
            </w:r>
          </w:p>
        </w:tc>
      </w:tr>
      <w:tr w:rsidR="007E0C5A" w:rsidTr="007E0C5A">
        <w:tc>
          <w:tcPr>
            <w:cnfStyle w:val="001000000000"/>
            <w:tcW w:w="2653" w:type="dxa"/>
          </w:tcPr>
          <w:p w:rsidR="007E0C5A" w:rsidRDefault="007E0C5A" w:rsidP="00037FA7">
            <w:pPr>
              <w:pStyle w:val="Bluetext"/>
              <w:rPr>
                <w:color w:val="auto"/>
              </w:rPr>
            </w:pPr>
          </w:p>
        </w:tc>
        <w:tc>
          <w:tcPr>
            <w:tcW w:w="2653" w:type="dxa"/>
          </w:tcPr>
          <w:p w:rsidR="007E0C5A" w:rsidRDefault="007E0C5A" w:rsidP="00037FA7">
            <w:pPr>
              <w:pStyle w:val="Bluetext"/>
              <w:cnfStyle w:val="000000000000"/>
              <w:rPr>
                <w:color w:val="auto"/>
              </w:rPr>
            </w:pPr>
          </w:p>
        </w:tc>
        <w:tc>
          <w:tcPr>
            <w:tcW w:w="2620" w:type="dxa"/>
          </w:tcPr>
          <w:p w:rsidR="007E0C5A" w:rsidRDefault="007E0C5A" w:rsidP="00037FA7">
            <w:pPr>
              <w:pStyle w:val="Bluetext"/>
              <w:cnfStyle w:val="000000000000"/>
              <w:rPr>
                <w:color w:val="auto"/>
              </w:rPr>
            </w:pPr>
          </w:p>
        </w:tc>
      </w:tr>
    </w:tbl>
    <w:p w:rsidR="007E0C5A" w:rsidRDefault="007E0C5A" w:rsidP="00037FA7">
      <w:pPr>
        <w:pStyle w:val="Bluetext"/>
        <w:rPr>
          <w:color w:val="auto"/>
        </w:rPr>
      </w:pPr>
    </w:p>
    <w:p w:rsidR="007E0C5A" w:rsidRPr="00FD1248" w:rsidRDefault="007E0C5A" w:rsidP="007E0C5A">
      <w:pPr>
        <w:pStyle w:val="Bluetext"/>
        <w:rPr>
          <w:b/>
          <w:color w:val="auto"/>
        </w:rPr>
      </w:pPr>
      <w:r w:rsidRPr="00FD1248">
        <w:rPr>
          <w:b/>
          <w:color w:val="auto"/>
        </w:rPr>
        <w:lastRenderedPageBreak/>
        <w:t xml:space="preserve">Table 3: </w:t>
      </w:r>
      <w:r w:rsidR="00BD1433" w:rsidRPr="00FD1248">
        <w:rPr>
          <w:b/>
          <w:color w:val="auto"/>
        </w:rPr>
        <w:t>Luminous</w:t>
      </w:r>
      <w:r w:rsidRPr="00FD1248">
        <w:rPr>
          <w:b/>
          <w:color w:val="auto"/>
        </w:rPr>
        <w:t xml:space="preserve"> </w:t>
      </w:r>
      <w:r w:rsidR="00BD1433" w:rsidRPr="00FD1248">
        <w:rPr>
          <w:b/>
          <w:color w:val="auto"/>
        </w:rPr>
        <w:t>intensity</w:t>
      </w:r>
      <w:r w:rsidRPr="00FD1248">
        <w:rPr>
          <w:b/>
          <w:color w:val="auto"/>
        </w:rPr>
        <w:t xml:space="preserve"> </w:t>
      </w:r>
      <w:r w:rsidR="00BD1433" w:rsidRPr="00FD1248">
        <w:rPr>
          <w:b/>
          <w:color w:val="auto"/>
        </w:rPr>
        <w:t>emitted by</w:t>
      </w:r>
      <w:r w:rsidRPr="00FD1248">
        <w:rPr>
          <w:b/>
          <w:color w:val="auto"/>
        </w:rPr>
        <w:t xml:space="preserve"> </w:t>
      </w:r>
      <w:proofErr w:type="spellStart"/>
      <w:r w:rsidRPr="00FD1248">
        <w:rPr>
          <w:b/>
          <w:color w:val="auto"/>
        </w:rPr>
        <w:t>luminaires</w:t>
      </w:r>
      <w:proofErr w:type="spellEnd"/>
    </w:p>
    <w:tbl>
      <w:tblPr>
        <w:tblStyle w:val="TableGrid"/>
        <w:tblW w:w="0" w:type="auto"/>
        <w:tblLook w:val="04A0"/>
      </w:tblPr>
      <w:tblGrid>
        <w:gridCol w:w="2180"/>
        <w:gridCol w:w="2227"/>
        <w:gridCol w:w="2041"/>
        <w:gridCol w:w="2220"/>
        <w:gridCol w:w="1878"/>
      </w:tblGrid>
      <w:tr w:rsidR="007E0C5A" w:rsidTr="007E0C5A">
        <w:trPr>
          <w:cnfStyle w:val="100000000000"/>
        </w:trPr>
        <w:tc>
          <w:tcPr>
            <w:cnfStyle w:val="001000000000"/>
            <w:tcW w:w="2180" w:type="dxa"/>
          </w:tcPr>
          <w:p w:rsidR="007E0C5A" w:rsidRDefault="007E0C5A" w:rsidP="00626893">
            <w:proofErr w:type="spellStart"/>
            <w:r w:rsidRPr="008B5C79">
              <w:rPr>
                <w:sz w:val="22"/>
              </w:rPr>
              <w:t>Luminaire</w:t>
            </w:r>
            <w:proofErr w:type="spellEnd"/>
          </w:p>
        </w:tc>
        <w:tc>
          <w:tcPr>
            <w:tcW w:w="2227" w:type="dxa"/>
          </w:tcPr>
          <w:p w:rsidR="007E0C5A" w:rsidRPr="008B5C79" w:rsidRDefault="007E0C5A" w:rsidP="00626893">
            <w:pPr>
              <w:cnfStyle w:val="100000000000"/>
              <w:rPr>
                <w:sz w:val="22"/>
              </w:rPr>
            </w:pPr>
            <w:r w:rsidRPr="008B5C79">
              <w:rPr>
                <w:sz w:val="22"/>
              </w:rPr>
              <w:t>Description</w:t>
            </w:r>
          </w:p>
        </w:tc>
        <w:tc>
          <w:tcPr>
            <w:tcW w:w="2041" w:type="dxa"/>
          </w:tcPr>
          <w:p w:rsidR="007E0C5A" w:rsidRPr="008B5C79" w:rsidRDefault="007E0C5A" w:rsidP="00626893">
            <w:pPr>
              <w:cnfStyle w:val="100000000000"/>
              <w:rPr>
                <w:sz w:val="22"/>
              </w:rPr>
            </w:pPr>
            <w:r w:rsidRPr="008B5C79">
              <w:rPr>
                <w:sz w:val="22"/>
              </w:rPr>
              <w:t>Areas Used</w:t>
            </w:r>
          </w:p>
        </w:tc>
        <w:tc>
          <w:tcPr>
            <w:tcW w:w="2220" w:type="dxa"/>
          </w:tcPr>
          <w:p w:rsidR="007E0C5A" w:rsidRPr="00FD1248" w:rsidRDefault="00BD1433" w:rsidP="00626893">
            <w:pPr>
              <w:cnfStyle w:val="100000000000"/>
              <w:rPr>
                <w:sz w:val="22"/>
              </w:rPr>
            </w:pPr>
            <w:r w:rsidRPr="00FD1248">
              <w:rPr>
                <w:rFonts w:eastAsiaTheme="minorHAnsi" w:cstheme="minorBidi"/>
                <w:sz w:val="22"/>
                <w:szCs w:val="22"/>
              </w:rPr>
              <w:t>Luminous intensity</w:t>
            </w:r>
          </w:p>
        </w:tc>
        <w:tc>
          <w:tcPr>
            <w:tcW w:w="1878" w:type="dxa"/>
          </w:tcPr>
          <w:p w:rsidR="007E0C5A" w:rsidRPr="00FD1248" w:rsidRDefault="00BD1433" w:rsidP="00626893">
            <w:pPr>
              <w:spacing w:before="0" w:after="200" w:line="276" w:lineRule="auto"/>
              <w:cnfStyle w:val="100000000000"/>
              <w:rPr>
                <w:sz w:val="22"/>
              </w:rPr>
            </w:pPr>
            <w:r w:rsidRPr="00FD1248">
              <w:rPr>
                <w:rFonts w:eastAsiaTheme="minorHAnsi" w:cstheme="minorBidi"/>
                <w:sz w:val="22"/>
                <w:szCs w:val="22"/>
              </w:rPr>
              <w:t>Compliance with AS4282 Table 2.1?</w:t>
            </w:r>
          </w:p>
        </w:tc>
      </w:tr>
      <w:tr w:rsidR="007E0C5A" w:rsidTr="007E0C5A">
        <w:trPr>
          <w:cnfStyle w:val="000000100000"/>
        </w:trPr>
        <w:tc>
          <w:tcPr>
            <w:cnfStyle w:val="001000000000"/>
            <w:tcW w:w="2180" w:type="dxa"/>
          </w:tcPr>
          <w:p w:rsidR="007E0C5A" w:rsidRPr="008B5C79" w:rsidRDefault="007E0C5A" w:rsidP="00626893">
            <w:pPr>
              <w:rPr>
                <w:b w:val="0"/>
              </w:rPr>
            </w:pPr>
            <w:r w:rsidRPr="008B5C79">
              <w:rPr>
                <w:b w:val="0"/>
                <w:sz w:val="18"/>
              </w:rPr>
              <w:t>E.g. 'A'</w:t>
            </w:r>
          </w:p>
        </w:tc>
        <w:tc>
          <w:tcPr>
            <w:tcW w:w="2227" w:type="dxa"/>
          </w:tcPr>
          <w:p w:rsidR="007E0C5A" w:rsidRDefault="007E0C5A" w:rsidP="00626893">
            <w:pPr>
              <w:cnfStyle w:val="000000100000"/>
            </w:pPr>
            <w:r>
              <w:t>E.g. 9W LED</w:t>
            </w:r>
          </w:p>
        </w:tc>
        <w:tc>
          <w:tcPr>
            <w:tcW w:w="2041" w:type="dxa"/>
          </w:tcPr>
          <w:p w:rsidR="007E0C5A" w:rsidRDefault="007E0C5A" w:rsidP="00626893">
            <w:pPr>
              <w:cnfStyle w:val="000000100000"/>
            </w:pPr>
            <w:r>
              <w:t xml:space="preserve">E.g. North fence </w:t>
            </w:r>
          </w:p>
        </w:tc>
        <w:tc>
          <w:tcPr>
            <w:tcW w:w="2220" w:type="dxa"/>
          </w:tcPr>
          <w:p w:rsidR="007E0C5A" w:rsidRDefault="007E0C5A" w:rsidP="007E0C5A">
            <w:pPr>
              <w:cnfStyle w:val="000000100000"/>
            </w:pPr>
            <w:r>
              <w:t xml:space="preserve">E.g. 1,000 </w:t>
            </w:r>
            <w:proofErr w:type="spellStart"/>
            <w:r>
              <w:t>cd</w:t>
            </w:r>
            <w:proofErr w:type="spellEnd"/>
          </w:p>
        </w:tc>
        <w:tc>
          <w:tcPr>
            <w:tcW w:w="1878" w:type="dxa"/>
          </w:tcPr>
          <w:p w:rsidR="007E0C5A" w:rsidRDefault="007E0C5A" w:rsidP="00626893">
            <w:pPr>
              <w:cnfStyle w:val="000000100000"/>
            </w:pPr>
            <w:r>
              <w:t>E.g. yes</w:t>
            </w:r>
          </w:p>
        </w:tc>
      </w:tr>
      <w:tr w:rsidR="007E0C5A" w:rsidTr="007E0C5A">
        <w:tc>
          <w:tcPr>
            <w:cnfStyle w:val="001000000000"/>
            <w:tcW w:w="2180" w:type="dxa"/>
          </w:tcPr>
          <w:p w:rsidR="007E0C5A" w:rsidRDefault="007E0C5A" w:rsidP="00626893"/>
        </w:tc>
        <w:tc>
          <w:tcPr>
            <w:tcW w:w="2227" w:type="dxa"/>
          </w:tcPr>
          <w:p w:rsidR="007E0C5A" w:rsidRDefault="007E0C5A" w:rsidP="00626893">
            <w:pPr>
              <w:cnfStyle w:val="000000000000"/>
            </w:pPr>
          </w:p>
        </w:tc>
        <w:tc>
          <w:tcPr>
            <w:tcW w:w="2041" w:type="dxa"/>
          </w:tcPr>
          <w:p w:rsidR="007E0C5A" w:rsidRDefault="007E0C5A" w:rsidP="00626893">
            <w:pPr>
              <w:cnfStyle w:val="000000000000"/>
            </w:pPr>
          </w:p>
        </w:tc>
        <w:tc>
          <w:tcPr>
            <w:tcW w:w="2220" w:type="dxa"/>
          </w:tcPr>
          <w:p w:rsidR="007E0C5A" w:rsidRDefault="007E0C5A" w:rsidP="00626893">
            <w:pPr>
              <w:cnfStyle w:val="000000000000"/>
            </w:pPr>
          </w:p>
        </w:tc>
        <w:tc>
          <w:tcPr>
            <w:tcW w:w="1878" w:type="dxa"/>
          </w:tcPr>
          <w:p w:rsidR="007E0C5A" w:rsidRDefault="007E0C5A" w:rsidP="00626893">
            <w:pPr>
              <w:cnfStyle w:val="000000000000"/>
            </w:pPr>
          </w:p>
        </w:tc>
      </w:tr>
    </w:tbl>
    <w:p w:rsidR="007E0C5A" w:rsidRDefault="007E0C5A" w:rsidP="007E0C5A">
      <w:pPr>
        <w:pStyle w:val="Bluetext"/>
        <w:rPr>
          <w:color w:val="auto"/>
        </w:rPr>
      </w:pPr>
    </w:p>
    <w:p w:rsidR="0052508D" w:rsidRDefault="007E0C5A" w:rsidP="0052508D">
      <w:pPr>
        <w:pStyle w:val="Bluetext"/>
      </w:pPr>
      <w:r w:rsidDel="007E0C5A">
        <w:rPr>
          <w:szCs w:val="20"/>
        </w:rPr>
        <w:t xml:space="preserve"> </w:t>
      </w:r>
      <w:r w:rsidR="0052508D" w:rsidRPr="0052508D">
        <w:t>[Please insert hyperlinks to documents which support these claims]</w:t>
      </w:r>
    </w:p>
    <w:p w:rsidR="007E0C5A" w:rsidRDefault="007E0C5A" w:rsidP="0052508D">
      <w:pPr>
        <w:pStyle w:val="Bluetext"/>
      </w:pPr>
    </w:p>
    <w:p w:rsidR="0052508D" w:rsidRDefault="0052508D" w:rsidP="0052508D">
      <w:pPr>
        <w:pStyle w:val="AdditionalpointNAclaimed"/>
      </w:pPr>
      <w:r w:rsidRPr="00BF07EC">
        <w:t>Therefore, as demonstrate</w:t>
      </w:r>
      <w:r>
        <w:t>d</w:t>
      </w:r>
      <w:r w:rsidRPr="00BF07EC">
        <w:t xml:space="preserve"> in section </w:t>
      </w:r>
      <w:r w:rsidR="007E0C5A">
        <w:t>3</w:t>
      </w:r>
      <w:r w:rsidR="007E0C5A" w:rsidRPr="00BF07EC">
        <w:t xml:space="preserve"> </w:t>
      </w:r>
      <w:r w:rsidR="004D6526">
        <w:t xml:space="preserve">and </w:t>
      </w:r>
      <w:r w:rsidR="007E0C5A">
        <w:t>4</w:t>
      </w:r>
      <w:r w:rsidR="004D6526">
        <w:t xml:space="preserve">, </w:t>
      </w:r>
      <w:r w:rsidRPr="00BF07EC">
        <w:t xml:space="preserve">this project is eligible to </w:t>
      </w:r>
      <w:r>
        <w:t xml:space="preserve">achieve </w:t>
      </w:r>
      <w:r w:rsidRPr="00163A48">
        <w:rPr>
          <w:color w:val="4CB2B3" w:themeColor="accent4"/>
        </w:rPr>
        <w:t>[1]</w:t>
      </w:r>
      <w:r>
        <w:t xml:space="preserve"> point for</w:t>
      </w:r>
      <w:r w:rsidR="004D6526">
        <w:t xml:space="preserve"> minimising light pollution into the night sky. </w:t>
      </w:r>
    </w:p>
    <w:p w:rsidR="00460249" w:rsidRPr="0035552E" w:rsidRDefault="00460249" w:rsidP="00460249"/>
    <w:p w:rsidR="0038233F" w:rsidRPr="0035552E" w:rsidRDefault="0038233F" w:rsidP="0038233F">
      <w:pPr>
        <w:pStyle w:val="Heading2"/>
      </w:pPr>
      <w:r w:rsidRPr="0035552E">
        <w:t>Discussion</w:t>
      </w:r>
    </w:p>
    <w:p w:rsidR="0038233F" w:rsidRDefault="0038233F" w:rsidP="0038233F">
      <w:pPr>
        <w:pStyle w:val="Bluetext"/>
      </w:pPr>
      <w:r w:rsidRPr="00391850">
        <w:t>[Insert any issues you would like to highlight and clarify to the Assessment Panel.]</w:t>
      </w:r>
    </w:p>
    <w:p w:rsidR="0038233F" w:rsidRDefault="0038233F" w:rsidP="0038233F"/>
    <w:p w:rsidR="0038233F" w:rsidRPr="0035552E" w:rsidRDefault="0038233F" w:rsidP="0038233F">
      <w:r>
        <w:t xml:space="preserve">Author Details: </w:t>
      </w:r>
    </w:p>
    <w:p w:rsidR="0038233F" w:rsidRPr="0023233C" w:rsidRDefault="0038233F" w:rsidP="0038233F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4932437"/>
        <w:placeholder>
          <w:docPart w:val="9B96826F67A140D1A241F6C040A4263F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38233F" w:rsidRPr="0023233C" w:rsidRDefault="0038233F" w:rsidP="0038233F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38233F" w:rsidRDefault="0038233F" w:rsidP="0038233F">
      <w:pPr>
        <w:rPr>
          <w:rFonts w:eastAsiaTheme="majorEastAsia"/>
        </w:rPr>
      </w:pPr>
    </w:p>
    <w:p w:rsidR="008A3A0F" w:rsidRDefault="0038233F" w:rsidP="00C55C2C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DC2" w:rsidRDefault="00F65DC2" w:rsidP="00460249">
      <w:r>
        <w:separator/>
      </w:r>
    </w:p>
  </w:endnote>
  <w:endnote w:type="continuationSeparator" w:id="1">
    <w:p w:rsidR="00F65DC2" w:rsidRDefault="00F65DC2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C2" w:rsidRPr="00B85A44" w:rsidRDefault="005B4F5F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F65DC2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1A607F">
          <w:rPr>
            <w:b/>
            <w:noProof/>
          </w:rPr>
          <w:t>2</w:t>
        </w:r>
        <w:r w:rsidRPr="001133B3">
          <w:rPr>
            <w:b/>
          </w:rPr>
          <w:fldChar w:fldCharType="end"/>
        </w:r>
      </w:sdtContent>
    </w:sdt>
    <w:r w:rsidR="00F65DC2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DC2" w:rsidRDefault="00F65DC2" w:rsidP="00460249">
      <w:r>
        <w:separator/>
      </w:r>
    </w:p>
  </w:footnote>
  <w:footnote w:type="continuationSeparator" w:id="1">
    <w:p w:rsidR="00F65DC2" w:rsidRDefault="00F65DC2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C2" w:rsidRDefault="00F65DC2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F65DC2" w:rsidRPr="00B85A44" w:rsidRDefault="00F65DC2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October 2013</w:t>
    </w:r>
    <w:r>
      <w:rPr>
        <w:sz w:val="16"/>
        <w:szCs w:val="16"/>
      </w:rPr>
      <w:tab/>
    </w:r>
  </w:p>
  <w:p w:rsidR="00F65DC2" w:rsidRPr="000650AC" w:rsidRDefault="00F65DC2" w:rsidP="00B85A44">
    <w:pPr>
      <w:pStyle w:val="Header"/>
      <w:rPr>
        <w:rFonts w:cs="Arial"/>
        <w:color w:val="00B0F0"/>
        <w:szCs w:val="18"/>
      </w:rPr>
    </w:pPr>
  </w:p>
  <w:p w:rsidR="00F65DC2" w:rsidRDefault="00F65D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61104"/>
    <w:multiLevelType w:val="multilevel"/>
    <w:tmpl w:val="F086E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0146A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815C0"/>
    <w:multiLevelType w:val="hybridMultilevel"/>
    <w:tmpl w:val="77E03A8E"/>
    <w:lvl w:ilvl="0" w:tplc="405EE94E">
      <w:start w:val="1"/>
      <w:numFmt w:val="bullet"/>
      <w:pStyle w:val="GBCAlist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>
    <w:nsid w:val="3D9E19B9"/>
    <w:multiLevelType w:val="hybridMultilevel"/>
    <w:tmpl w:val="384284F0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E5846"/>
    <w:multiLevelType w:val="hybridMultilevel"/>
    <w:tmpl w:val="394CA774"/>
    <w:lvl w:ilvl="0" w:tplc="0409000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237DD3"/>
    <w:multiLevelType w:val="hybridMultilevel"/>
    <w:tmpl w:val="97229C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F72E5E"/>
    <w:multiLevelType w:val="hybridMultilevel"/>
    <w:tmpl w:val="28FCB104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0203F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6E0B6399"/>
    <w:multiLevelType w:val="multilevel"/>
    <w:tmpl w:val="9C0E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41B7C99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77885B9D"/>
    <w:multiLevelType w:val="multilevel"/>
    <w:tmpl w:val="5AE45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8"/>
  </w:num>
  <w:num w:numId="13">
    <w:abstractNumId w:val="13"/>
  </w:num>
  <w:num w:numId="14">
    <w:abstractNumId w:val="12"/>
  </w:num>
  <w:num w:numId="15">
    <w:abstractNumId w:val="30"/>
  </w:num>
  <w:num w:numId="16">
    <w:abstractNumId w:val="16"/>
  </w:num>
  <w:num w:numId="17">
    <w:abstractNumId w:val="22"/>
  </w:num>
  <w:num w:numId="18">
    <w:abstractNumId w:val="23"/>
  </w:num>
  <w:num w:numId="1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27"/>
  </w:num>
  <w:num w:numId="23">
    <w:abstractNumId w:val="17"/>
  </w:num>
  <w:num w:numId="24">
    <w:abstractNumId w:val="25"/>
  </w:num>
  <w:num w:numId="25">
    <w:abstractNumId w:val="21"/>
  </w:num>
  <w:num w:numId="26">
    <w:abstractNumId w:val="10"/>
  </w:num>
  <w:num w:numId="27">
    <w:abstractNumId w:val="26"/>
  </w:num>
  <w:num w:numId="28">
    <w:abstractNumId w:val="28"/>
  </w:num>
  <w:num w:numId="29">
    <w:abstractNumId w:val="2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2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4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5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6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04FBC"/>
    <w:rsid w:val="00037FA7"/>
    <w:rsid w:val="000650AC"/>
    <w:rsid w:val="000A085B"/>
    <w:rsid w:val="000E1DB9"/>
    <w:rsid w:val="00107548"/>
    <w:rsid w:val="00163A48"/>
    <w:rsid w:val="0017224D"/>
    <w:rsid w:val="001A1E32"/>
    <w:rsid w:val="001A607F"/>
    <w:rsid w:val="001E5C85"/>
    <w:rsid w:val="00225AD0"/>
    <w:rsid w:val="00226FF3"/>
    <w:rsid w:val="00232F6C"/>
    <w:rsid w:val="00252745"/>
    <w:rsid w:val="00263C9C"/>
    <w:rsid w:val="00293B37"/>
    <w:rsid w:val="002D0C73"/>
    <w:rsid w:val="003350C3"/>
    <w:rsid w:val="00344185"/>
    <w:rsid w:val="003632A2"/>
    <w:rsid w:val="00365488"/>
    <w:rsid w:val="00372F24"/>
    <w:rsid w:val="0038233F"/>
    <w:rsid w:val="003B2B2C"/>
    <w:rsid w:val="003C2E11"/>
    <w:rsid w:val="003E7E12"/>
    <w:rsid w:val="00420C67"/>
    <w:rsid w:val="00452924"/>
    <w:rsid w:val="00455F5F"/>
    <w:rsid w:val="00456EA5"/>
    <w:rsid w:val="00460249"/>
    <w:rsid w:val="004712C4"/>
    <w:rsid w:val="004A750A"/>
    <w:rsid w:val="004B3C71"/>
    <w:rsid w:val="004D6526"/>
    <w:rsid w:val="004D7CEE"/>
    <w:rsid w:val="0051588D"/>
    <w:rsid w:val="0052508D"/>
    <w:rsid w:val="005251C4"/>
    <w:rsid w:val="00551E11"/>
    <w:rsid w:val="00584F37"/>
    <w:rsid w:val="005A1DEA"/>
    <w:rsid w:val="005A5250"/>
    <w:rsid w:val="005B4F5F"/>
    <w:rsid w:val="005E0FE8"/>
    <w:rsid w:val="005F735B"/>
    <w:rsid w:val="006234CA"/>
    <w:rsid w:val="00656644"/>
    <w:rsid w:val="00692DDF"/>
    <w:rsid w:val="0069772B"/>
    <w:rsid w:val="006C0678"/>
    <w:rsid w:val="006C0BBD"/>
    <w:rsid w:val="00703682"/>
    <w:rsid w:val="007113D4"/>
    <w:rsid w:val="0079553F"/>
    <w:rsid w:val="007D1B2F"/>
    <w:rsid w:val="007E0C5A"/>
    <w:rsid w:val="007E353E"/>
    <w:rsid w:val="008410D5"/>
    <w:rsid w:val="008543E7"/>
    <w:rsid w:val="0086285C"/>
    <w:rsid w:val="00863344"/>
    <w:rsid w:val="00873478"/>
    <w:rsid w:val="008A3A0F"/>
    <w:rsid w:val="008B5C79"/>
    <w:rsid w:val="008D2097"/>
    <w:rsid w:val="00916944"/>
    <w:rsid w:val="00954CBF"/>
    <w:rsid w:val="009674E2"/>
    <w:rsid w:val="0099155A"/>
    <w:rsid w:val="009E2618"/>
    <w:rsid w:val="00A03694"/>
    <w:rsid w:val="00A04A3B"/>
    <w:rsid w:val="00A14092"/>
    <w:rsid w:val="00A15F2F"/>
    <w:rsid w:val="00A302F2"/>
    <w:rsid w:val="00AB1711"/>
    <w:rsid w:val="00AB7F1D"/>
    <w:rsid w:val="00AC0F80"/>
    <w:rsid w:val="00AD0EBA"/>
    <w:rsid w:val="00AD6ECD"/>
    <w:rsid w:val="00B072DF"/>
    <w:rsid w:val="00B22F29"/>
    <w:rsid w:val="00B26A4D"/>
    <w:rsid w:val="00B501C0"/>
    <w:rsid w:val="00B54E07"/>
    <w:rsid w:val="00B85A44"/>
    <w:rsid w:val="00B8616C"/>
    <w:rsid w:val="00B913FE"/>
    <w:rsid w:val="00BD1433"/>
    <w:rsid w:val="00BE2DB1"/>
    <w:rsid w:val="00BE3D35"/>
    <w:rsid w:val="00BF2DB4"/>
    <w:rsid w:val="00C101DD"/>
    <w:rsid w:val="00C12C3E"/>
    <w:rsid w:val="00C1485E"/>
    <w:rsid w:val="00C30403"/>
    <w:rsid w:val="00C30E65"/>
    <w:rsid w:val="00C54859"/>
    <w:rsid w:val="00C55C2C"/>
    <w:rsid w:val="00C7066D"/>
    <w:rsid w:val="00C9012C"/>
    <w:rsid w:val="00CD1831"/>
    <w:rsid w:val="00CF0105"/>
    <w:rsid w:val="00D42976"/>
    <w:rsid w:val="00D83067"/>
    <w:rsid w:val="00E05A87"/>
    <w:rsid w:val="00E407C8"/>
    <w:rsid w:val="00E42DD8"/>
    <w:rsid w:val="00E47464"/>
    <w:rsid w:val="00E82662"/>
    <w:rsid w:val="00F05524"/>
    <w:rsid w:val="00F20E14"/>
    <w:rsid w:val="00F30E6A"/>
    <w:rsid w:val="00F46F44"/>
    <w:rsid w:val="00F65DC2"/>
    <w:rsid w:val="00F96995"/>
    <w:rsid w:val="00FB73A1"/>
    <w:rsid w:val="00FD1248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1A607F"/>
  </w:style>
  <w:style w:type="paragraph" w:styleId="Heading1">
    <w:name w:val="heading 1"/>
    <w:aliases w:val="GBCA Heading 1,GBCA,Section Title,Heading L1,Heading 1 (listed)"/>
    <w:basedOn w:val="Normal"/>
    <w:next w:val="Normal"/>
    <w:link w:val="Heading1Char"/>
    <w:uiPriority w:val="9"/>
    <w:qFormat/>
    <w:rsid w:val="00BE3D35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BE3D35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BE3D3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BE3D35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3D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1A607F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A607F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,Heading L1 Char,Heading 1 (listed) Char"/>
    <w:basedOn w:val="DefaultParagraphFont"/>
    <w:link w:val="Heading1"/>
    <w:uiPriority w:val="9"/>
    <w:rsid w:val="00BE3D35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BE3D35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BE3D35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BE3D35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BE3D35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BE3D35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BE3D35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BE3D35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3D35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D35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BE3D35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BE3D35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BE3D35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BE3D35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BE3D35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BE3D35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BE3D35"/>
  </w:style>
  <w:style w:type="paragraph" w:customStyle="1" w:styleId="BodyofTextBulletpoint3rdlevel">
    <w:name w:val="Body of Text – Bullet point (3rd level)"/>
    <w:basedOn w:val="BodyoftextBulletPoint"/>
    <w:qFormat/>
    <w:rsid w:val="00BE3D35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BE3D35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BE3D35"/>
  </w:style>
  <w:style w:type="character" w:customStyle="1" w:styleId="Documenttextunderlined">
    <w:name w:val="Document text underlined"/>
    <w:basedOn w:val="DefaultParagraphFont"/>
    <w:uiPriority w:val="1"/>
    <w:qFormat/>
    <w:rsid w:val="00BE3D35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BE3D35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BE3D35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BE3D35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BE3D35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BE3D35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BE3D35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BE3D35"/>
    <w:rPr>
      <w:b/>
    </w:rPr>
  </w:style>
  <w:style w:type="character" w:customStyle="1" w:styleId="Dateissued">
    <w:name w:val="Date issued"/>
    <w:basedOn w:val="DefaultParagraphFont"/>
    <w:uiPriority w:val="1"/>
    <w:qFormat/>
    <w:rsid w:val="00BE3D35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BE3D35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5A1DEA"/>
    <w:rPr>
      <w:rFonts w:asciiTheme="minorHAnsi" w:hAnsiTheme="minorHAnsi"/>
    </w:rPr>
  </w:style>
  <w:style w:type="paragraph" w:customStyle="1" w:styleId="GBCAlistbullet">
    <w:name w:val="GBCA list bullet"/>
    <w:basedOn w:val="Normal"/>
    <w:rsid w:val="00452924"/>
    <w:pPr>
      <w:numPr>
        <w:numId w:val="20"/>
      </w:numPr>
      <w:spacing w:before="120" w:after="0" w:line="240" w:lineRule="auto"/>
      <w:jc w:val="both"/>
    </w:pPr>
    <w:rPr>
      <w:rFonts w:ascii="HelveticaNeue-Roman" w:eastAsia="Times New Roman" w:hAnsi="HelveticaNeue-Roman" w:cs="Times New Roman"/>
      <w:szCs w:val="24"/>
      <w:lang w:eastAsia="en-AU"/>
    </w:rPr>
  </w:style>
  <w:style w:type="paragraph" w:customStyle="1" w:styleId="gbcalistbullet0">
    <w:name w:val="gbcalistbullet"/>
    <w:basedOn w:val="Normal"/>
    <w:rsid w:val="00452924"/>
    <w:pPr>
      <w:spacing w:before="120" w:after="0" w:line="240" w:lineRule="auto"/>
      <w:jc w:val="both"/>
    </w:pPr>
    <w:rPr>
      <w:rFonts w:ascii="HelveticaNeue-Roman" w:eastAsia="Times New Roman" w:hAnsi="HelveticaNeue-Roman" w:cs="Times New Roman"/>
      <w:lang w:eastAsia="en-AU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BE3D35"/>
    <w:pPr>
      <w:numPr>
        <w:numId w:val="2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BE3D35"/>
  </w:style>
  <w:style w:type="paragraph" w:customStyle="1" w:styleId="HeadingSimilarStyle">
    <w:name w:val="Heading Similar Style"/>
    <w:basedOn w:val="Normal"/>
    <w:link w:val="HeadingSimilarStyleChar"/>
    <w:qFormat/>
    <w:rsid w:val="00BE3D35"/>
    <w:pPr>
      <w:numPr>
        <w:ilvl w:val="1"/>
        <w:numId w:val="3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BE3D35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BE3D35"/>
    <w:pPr>
      <w:spacing w:line="240" w:lineRule="auto"/>
    </w:pPr>
    <w:rPr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96826F67A140D1A241F6C040A4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9721-5959-4FE0-9FAE-56E103135B6E}"/>
      </w:docPartPr>
      <w:docPartBody>
        <w:p w:rsidR="00541CE2" w:rsidRDefault="00700575" w:rsidP="00700575">
          <w:pPr>
            <w:pStyle w:val="9B96826F67A140D1A241F6C040A4263F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2C4217"/>
    <w:rsid w:val="00356146"/>
    <w:rsid w:val="0044227F"/>
    <w:rsid w:val="00485CAF"/>
    <w:rsid w:val="00541CE2"/>
    <w:rsid w:val="00625C95"/>
    <w:rsid w:val="00677127"/>
    <w:rsid w:val="0069021A"/>
    <w:rsid w:val="006A32CB"/>
    <w:rsid w:val="00700575"/>
    <w:rsid w:val="00857F37"/>
    <w:rsid w:val="009563E0"/>
    <w:rsid w:val="00A51FB4"/>
    <w:rsid w:val="00AE5148"/>
    <w:rsid w:val="00BA4F22"/>
    <w:rsid w:val="00C74ADD"/>
    <w:rsid w:val="00CD6C36"/>
    <w:rsid w:val="00DE0D1A"/>
    <w:rsid w:val="00E14E38"/>
    <w:rsid w:val="00ED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575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E73165111F53473D8DD42FA9308BD666">
    <w:name w:val="E73165111F53473D8DD42FA9308BD666"/>
    <w:rsid w:val="00700575"/>
  </w:style>
  <w:style w:type="paragraph" w:customStyle="1" w:styleId="A5C1B23AC7344A799A186968C442A743">
    <w:name w:val="A5C1B23AC7344A799A186968C442A743"/>
    <w:rsid w:val="00700575"/>
  </w:style>
  <w:style w:type="paragraph" w:customStyle="1" w:styleId="8EFA77F9B2444B7286203D124ADDA001">
    <w:name w:val="8EFA77F9B2444B7286203D124ADDA001"/>
    <w:rsid w:val="00700575"/>
  </w:style>
  <w:style w:type="paragraph" w:customStyle="1" w:styleId="CF1A06F000C2489E8C2D4F73FB9A333D">
    <w:name w:val="CF1A06F000C2489E8C2D4F73FB9A333D"/>
    <w:rsid w:val="00700575"/>
  </w:style>
  <w:style w:type="paragraph" w:customStyle="1" w:styleId="CD9D778BDBB54EF1B8457D94BA22A18F">
    <w:name w:val="CD9D778BDBB54EF1B8457D94BA22A18F"/>
    <w:rsid w:val="00700575"/>
  </w:style>
  <w:style w:type="paragraph" w:customStyle="1" w:styleId="BC900EF469B44492A77EEFB98B9899F2">
    <w:name w:val="BC900EF469B44492A77EEFB98B9899F2"/>
    <w:rsid w:val="00700575"/>
  </w:style>
  <w:style w:type="paragraph" w:customStyle="1" w:styleId="940214571C6841C790EE56DEEF7FF7A0">
    <w:name w:val="940214571C6841C790EE56DEEF7FF7A0"/>
    <w:rsid w:val="00700575"/>
  </w:style>
  <w:style w:type="paragraph" w:customStyle="1" w:styleId="6F70FEA84708464DA478578E0C5465BE">
    <w:name w:val="6F70FEA84708464DA478578E0C5465BE"/>
    <w:rsid w:val="00700575"/>
  </w:style>
  <w:style w:type="paragraph" w:customStyle="1" w:styleId="457832F069744EC6BF46471C8B0942BE">
    <w:name w:val="457832F069744EC6BF46471C8B0942BE"/>
    <w:rsid w:val="00700575"/>
  </w:style>
  <w:style w:type="paragraph" w:customStyle="1" w:styleId="39B900B719944065AF1B980745C0F238">
    <w:name w:val="39B900B719944065AF1B980745C0F238"/>
    <w:rsid w:val="00700575"/>
  </w:style>
  <w:style w:type="paragraph" w:customStyle="1" w:styleId="23563C78F7DD4E71B846B5808CB0EEA4">
    <w:name w:val="23563C78F7DD4E71B846B5808CB0EEA4"/>
    <w:rsid w:val="00700575"/>
  </w:style>
  <w:style w:type="paragraph" w:customStyle="1" w:styleId="45606D9B6F384C67ADD34FDC520E3F26">
    <w:name w:val="45606D9B6F384C67ADD34FDC520E3F26"/>
    <w:rsid w:val="00700575"/>
  </w:style>
  <w:style w:type="paragraph" w:customStyle="1" w:styleId="35CB4D2F68EC43F5A640034E031F7BF2">
    <w:name w:val="35CB4D2F68EC43F5A640034E031F7BF2"/>
    <w:rsid w:val="00700575"/>
  </w:style>
  <w:style w:type="paragraph" w:customStyle="1" w:styleId="16FD7F63BFAF475D88B75501D2705F1D">
    <w:name w:val="16FD7F63BFAF475D88B75501D2705F1D"/>
    <w:rsid w:val="00700575"/>
  </w:style>
  <w:style w:type="paragraph" w:customStyle="1" w:styleId="80EB03A4D19C4B4DA184B497182B756A">
    <w:name w:val="80EB03A4D19C4B4DA184B497182B756A"/>
    <w:rsid w:val="00700575"/>
  </w:style>
  <w:style w:type="paragraph" w:customStyle="1" w:styleId="74C4984FD83B48DF88D2008178E42330">
    <w:name w:val="74C4984FD83B48DF88D2008178E42330"/>
    <w:rsid w:val="00700575"/>
  </w:style>
  <w:style w:type="paragraph" w:customStyle="1" w:styleId="CC547E227ABF4161AEF24BAE5FF11A25">
    <w:name w:val="CC547E227ABF4161AEF24BAE5FF11A25"/>
    <w:rsid w:val="00700575"/>
  </w:style>
  <w:style w:type="paragraph" w:customStyle="1" w:styleId="522B3A8B711847D8A9C11A4CAF445615">
    <w:name w:val="522B3A8B711847D8A9C11A4CAF445615"/>
    <w:rsid w:val="00700575"/>
  </w:style>
  <w:style w:type="paragraph" w:customStyle="1" w:styleId="9B96826F67A140D1A241F6C040A4263F">
    <w:name w:val="9B96826F67A140D1A241F6C040A4263F"/>
    <w:rsid w:val="007005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DE2F8-90F8-4F87-91FA-D7536271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4</cp:revision>
  <dcterms:created xsi:type="dcterms:W3CDTF">2013-10-30T22:31:00Z</dcterms:created>
  <dcterms:modified xsi:type="dcterms:W3CDTF">2013-10-30T22:53:00Z</dcterms:modified>
</cp:coreProperties>
</file>