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733314" w:rsidP="00F46F44">
      <w:pPr>
        <w:pStyle w:val="Heading1"/>
      </w:pPr>
      <w:bookmarkStart w:id="0" w:name="_Toc94610314"/>
      <w:bookmarkStart w:id="1" w:name="_Toc98301847"/>
      <w:r w:rsidRPr="00460C67">
        <w:rPr>
          <w:rStyle w:val="DocumentTextGreenBold"/>
          <w:lang w:eastAsia="zh-TW"/>
        </w:rPr>
        <w:pict>
          <v:roundrect id="_x0000_s1026" style="position:absolute;margin-left:3780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B85A44" w:rsidRPr="00FD57F2" w:rsidRDefault="00B85A44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460C67">
        <w:rPr>
          <w:rStyle w:val="DocumentTextGreenBold"/>
        </w:rPr>
        <w:t xml:space="preserve">Green Star </w:t>
      </w:r>
      <w:r w:rsidR="00460249" w:rsidRPr="00460C67">
        <w:rPr>
          <w:rStyle w:val="DocumentTextGreenBold"/>
        </w:rPr>
        <w:br/>
        <w:t>Short Report</w:t>
      </w:r>
      <w:r w:rsidR="00460249" w:rsidRPr="00460C67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F3010C">
        <w:rPr>
          <w:rStyle w:val="DocumentTextbody"/>
        </w:rPr>
        <w:t>Eco-2 Reuse of Land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F3010C">
        <w:rPr>
          <w:rStyle w:val="DocumentTextbody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[1]</w:t>
      </w:r>
    </w:p>
    <w:bookmarkEnd w:id="0"/>
    <w:bookmarkEnd w:id="1"/>
    <w:p w:rsidR="00147BB7" w:rsidRPr="007246A1" w:rsidRDefault="00147BB7" w:rsidP="00F3010C">
      <w:pPr>
        <w:pStyle w:val="Numberedheading"/>
      </w:pPr>
      <w:r w:rsidRPr="007246A1">
        <w:t>Refurbishment or Building Extension</w:t>
      </w:r>
      <w:r>
        <w:t xml:space="preserve"> (this is relevant to project teams targeting this credit as a building refurbishment or extension)</w:t>
      </w:r>
    </w:p>
    <w:p w:rsidR="00147BB7" w:rsidRDefault="00147BB7" w:rsidP="00147BB7">
      <w:r>
        <w:t>The project is a refurbishment or a building extension</w:t>
      </w:r>
    </w:p>
    <w:p w:rsidR="00147BB7" w:rsidRPr="00F3010C" w:rsidRDefault="00147BB7" w:rsidP="00147BB7">
      <w:pPr>
        <w:rPr>
          <w:color w:val="4CB2B3" w:themeColor="accent4"/>
        </w:rPr>
      </w:pPr>
      <w:r w:rsidRPr="00F3010C" w:rsidDel="00C453EE">
        <w:rPr>
          <w:color w:val="4CB2B3" w:themeColor="accent4"/>
        </w:rPr>
        <w:t xml:space="preserve"> </w:t>
      </w:r>
      <w:r w:rsidRPr="00F3010C">
        <w:rPr>
          <w:color w:val="4CB2B3" w:themeColor="accent4"/>
        </w:rPr>
        <w:t>[Please provide a short description of refurbishment and/or building extension]</w:t>
      </w:r>
    </w:p>
    <w:p w:rsidR="00147BB7" w:rsidRPr="00F3010C" w:rsidRDefault="00147BB7" w:rsidP="00147BB7">
      <w:pPr>
        <w:rPr>
          <w:color w:val="4CB2B3" w:themeColor="accent4"/>
        </w:rPr>
      </w:pPr>
    </w:p>
    <w:p w:rsidR="00147BB7" w:rsidRPr="00F3010C" w:rsidRDefault="00147BB7" w:rsidP="00147BB7">
      <w:pPr>
        <w:rPr>
          <w:color w:val="4CB2B3" w:themeColor="accent4"/>
        </w:rPr>
      </w:pPr>
      <w:r w:rsidRPr="00F3010C">
        <w:rPr>
          <w:color w:val="4CB2B3" w:themeColor="accent4"/>
        </w:rPr>
        <w:t>[Insert hyperlinks to documents which support these claims]</w:t>
      </w:r>
    </w:p>
    <w:p w:rsidR="00147BB7" w:rsidRDefault="00147BB7" w:rsidP="00147BB7">
      <w:pPr>
        <w:rPr>
          <w:color w:val="2F333B" w:themeColor="accent3" w:themeShade="BF"/>
        </w:rPr>
      </w:pPr>
    </w:p>
    <w:p w:rsidR="00147BB7" w:rsidRPr="00E07697" w:rsidRDefault="00147BB7" w:rsidP="00F3010C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  <w:jc w:val="both"/>
      </w:pPr>
      <w:r>
        <w:t xml:space="preserve">Therefore as demonstrated in section 1, this project is eligible to achieve 1 point for the reuse of an existing building. </w:t>
      </w:r>
    </w:p>
    <w:p w:rsidR="00F3010C" w:rsidRDefault="00F3010C" w:rsidP="00F3010C">
      <w:pPr>
        <w:pStyle w:val="Numberedheading"/>
        <w:numPr>
          <w:ilvl w:val="0"/>
          <w:numId w:val="0"/>
        </w:numPr>
        <w:ind w:left="360"/>
      </w:pPr>
    </w:p>
    <w:p w:rsidR="00147BB7" w:rsidRPr="007246A1" w:rsidRDefault="00147BB7" w:rsidP="00F3010C">
      <w:pPr>
        <w:pStyle w:val="Numberedheading"/>
      </w:pPr>
      <w:r w:rsidRPr="007246A1">
        <w:t>Existing Site</w:t>
      </w:r>
      <w:r>
        <w:t xml:space="preserve"> (this is relevant to project teams targeting this credit due to existing site being built upon)</w:t>
      </w:r>
    </w:p>
    <w:p w:rsidR="00147BB7" w:rsidRDefault="00147BB7" w:rsidP="00147BB7">
      <w:r>
        <w:t>At the time of site purchase, a minimum of 75% of the site had been previously built on.</w:t>
      </w:r>
    </w:p>
    <w:p w:rsidR="00147BB7" w:rsidRDefault="00147BB7" w:rsidP="00147BB7"/>
    <w:p w:rsidR="00147BB7" w:rsidRPr="006516A1" w:rsidRDefault="00147BB7" w:rsidP="00147BB7">
      <w:pPr>
        <w:rPr>
          <w:color w:val="2F333B" w:themeColor="accent3" w:themeShade="BF"/>
        </w:rPr>
      </w:pPr>
      <w:r w:rsidRPr="006516A1">
        <w:rPr>
          <w:color w:val="2F333B" w:themeColor="accent3" w:themeShade="BF"/>
        </w:rPr>
        <w:t>[Please provide a short description of the site and the built areas at the time of site purchase]</w:t>
      </w:r>
    </w:p>
    <w:p w:rsidR="00147BB7" w:rsidRDefault="00147BB7" w:rsidP="00147BB7"/>
    <w:p w:rsidR="00147BB7" w:rsidRDefault="00147BB7" w:rsidP="00147BB7">
      <w:r>
        <w:t xml:space="preserve">The site’s built areas at the time of site purchase are quantified below:  </w:t>
      </w:r>
    </w:p>
    <w:tbl>
      <w:tblPr>
        <w:tblStyle w:val="TableGrid"/>
        <w:tblW w:w="0" w:type="auto"/>
        <w:tblLook w:val="04A0"/>
      </w:tblPr>
      <w:tblGrid>
        <w:gridCol w:w="4152"/>
        <w:gridCol w:w="4178"/>
      </w:tblGrid>
      <w:tr w:rsidR="00147BB7" w:rsidRPr="00595FFC" w:rsidTr="00E33591">
        <w:trPr>
          <w:cnfStyle w:val="100000000000"/>
          <w:trHeight w:val="625"/>
        </w:trPr>
        <w:tc>
          <w:tcPr>
            <w:cnfStyle w:val="001000000000"/>
            <w:tcW w:w="4152" w:type="dxa"/>
          </w:tcPr>
          <w:p w:rsidR="00147BB7" w:rsidRPr="00F3010C" w:rsidRDefault="00147BB7" w:rsidP="00E33591">
            <w:pPr>
              <w:rPr>
                <w:sz w:val="24"/>
                <w:szCs w:val="24"/>
              </w:rPr>
            </w:pPr>
            <w:r w:rsidRPr="00F3010C">
              <w:rPr>
                <w:sz w:val="24"/>
                <w:szCs w:val="24"/>
              </w:rPr>
              <w:t>Description</w:t>
            </w:r>
          </w:p>
        </w:tc>
        <w:tc>
          <w:tcPr>
            <w:tcW w:w="4178" w:type="dxa"/>
          </w:tcPr>
          <w:p w:rsidR="00147BB7" w:rsidRPr="00F3010C" w:rsidRDefault="00147BB7" w:rsidP="00E33591">
            <w:pPr>
              <w:cnfStyle w:val="100000000000"/>
              <w:rPr>
                <w:sz w:val="24"/>
                <w:szCs w:val="24"/>
              </w:rPr>
            </w:pPr>
            <w:r w:rsidRPr="00F3010C">
              <w:rPr>
                <w:sz w:val="24"/>
                <w:szCs w:val="24"/>
              </w:rPr>
              <w:t>Area (m</w:t>
            </w:r>
            <w:r w:rsidRPr="00F3010C">
              <w:rPr>
                <w:sz w:val="24"/>
                <w:szCs w:val="24"/>
                <w:vertAlign w:val="superscript"/>
              </w:rPr>
              <w:t>2</w:t>
            </w:r>
            <w:r w:rsidRPr="00F3010C">
              <w:rPr>
                <w:sz w:val="24"/>
                <w:szCs w:val="24"/>
              </w:rPr>
              <w:t>)</w:t>
            </w:r>
          </w:p>
        </w:tc>
      </w:tr>
      <w:tr w:rsidR="00147BB7" w:rsidTr="00E33591">
        <w:trPr>
          <w:cnfStyle w:val="000000100000"/>
          <w:trHeight w:val="367"/>
        </w:trPr>
        <w:tc>
          <w:tcPr>
            <w:cnfStyle w:val="001000000000"/>
            <w:tcW w:w="4152" w:type="dxa"/>
          </w:tcPr>
          <w:p w:rsidR="00147BB7" w:rsidRPr="00F3010C" w:rsidRDefault="00147BB7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4178" w:type="dxa"/>
          </w:tcPr>
          <w:p w:rsidR="00147BB7" w:rsidRPr="00F3010C" w:rsidRDefault="00147BB7" w:rsidP="00E33591">
            <w:pPr>
              <w:cnfStyle w:val="000000100000"/>
              <w:rPr>
                <w:color w:val="4CB2B3" w:themeColor="accent4"/>
              </w:rPr>
            </w:pPr>
            <w:r w:rsidRPr="00F3010C">
              <w:rPr>
                <w:color w:val="4CB2B3" w:themeColor="accent4"/>
              </w:rPr>
              <w:t>[ m</w:t>
            </w:r>
            <w:r w:rsidRPr="00F3010C">
              <w:rPr>
                <w:color w:val="4CB2B3" w:themeColor="accent4"/>
                <w:vertAlign w:val="superscript"/>
              </w:rPr>
              <w:t>2</w:t>
            </w:r>
            <w:r w:rsidRPr="00F3010C">
              <w:rPr>
                <w:color w:val="4CB2B3" w:themeColor="accent4"/>
              </w:rPr>
              <w:t>]</w:t>
            </w:r>
          </w:p>
        </w:tc>
      </w:tr>
      <w:tr w:rsidR="00147BB7" w:rsidTr="00E33591">
        <w:trPr>
          <w:trHeight w:val="367"/>
        </w:trPr>
        <w:tc>
          <w:tcPr>
            <w:cnfStyle w:val="001000000000"/>
            <w:tcW w:w="4152" w:type="dxa"/>
          </w:tcPr>
          <w:p w:rsidR="00147BB7" w:rsidRPr="00F3010C" w:rsidRDefault="00147BB7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4178" w:type="dxa"/>
          </w:tcPr>
          <w:p w:rsidR="00147BB7" w:rsidRPr="00F3010C" w:rsidRDefault="00147BB7" w:rsidP="00E33591">
            <w:pPr>
              <w:cnfStyle w:val="000000000000"/>
              <w:rPr>
                <w:color w:val="4CB2B3" w:themeColor="accent4"/>
              </w:rPr>
            </w:pPr>
            <w:r w:rsidRPr="00F3010C">
              <w:rPr>
                <w:color w:val="4CB2B3" w:themeColor="accent4"/>
              </w:rPr>
              <w:t>[ m</w:t>
            </w:r>
            <w:r w:rsidRPr="00F3010C">
              <w:rPr>
                <w:color w:val="4CB2B3" w:themeColor="accent4"/>
                <w:vertAlign w:val="superscript"/>
              </w:rPr>
              <w:t>2</w:t>
            </w:r>
            <w:r w:rsidRPr="00F3010C">
              <w:rPr>
                <w:color w:val="4CB2B3" w:themeColor="accent4"/>
              </w:rPr>
              <w:t>]</w:t>
            </w:r>
          </w:p>
        </w:tc>
      </w:tr>
      <w:tr w:rsidR="00147BB7" w:rsidTr="00E33591">
        <w:trPr>
          <w:cnfStyle w:val="000000100000"/>
          <w:trHeight w:val="367"/>
        </w:trPr>
        <w:tc>
          <w:tcPr>
            <w:cnfStyle w:val="001000000000"/>
            <w:tcW w:w="4152" w:type="dxa"/>
          </w:tcPr>
          <w:p w:rsidR="00147BB7" w:rsidRPr="00F3010C" w:rsidRDefault="00147BB7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4178" w:type="dxa"/>
          </w:tcPr>
          <w:p w:rsidR="00147BB7" w:rsidRPr="00F3010C" w:rsidRDefault="00147BB7" w:rsidP="00E33591">
            <w:pPr>
              <w:cnfStyle w:val="000000100000"/>
              <w:rPr>
                <w:color w:val="4CB2B3" w:themeColor="accent4"/>
              </w:rPr>
            </w:pPr>
            <w:r w:rsidRPr="00F3010C">
              <w:rPr>
                <w:color w:val="4CB2B3" w:themeColor="accent4"/>
              </w:rPr>
              <w:t>[ m</w:t>
            </w:r>
            <w:r w:rsidRPr="00F3010C">
              <w:rPr>
                <w:color w:val="4CB2B3" w:themeColor="accent4"/>
                <w:vertAlign w:val="superscript"/>
              </w:rPr>
              <w:t>2</w:t>
            </w:r>
            <w:r w:rsidRPr="00F3010C">
              <w:rPr>
                <w:color w:val="4CB2B3" w:themeColor="accent4"/>
              </w:rPr>
              <w:t>]</w:t>
            </w:r>
          </w:p>
        </w:tc>
      </w:tr>
      <w:tr w:rsidR="00147BB7" w:rsidTr="00E33591">
        <w:trPr>
          <w:trHeight w:val="367"/>
        </w:trPr>
        <w:tc>
          <w:tcPr>
            <w:cnfStyle w:val="001000000000"/>
            <w:tcW w:w="4152" w:type="dxa"/>
          </w:tcPr>
          <w:p w:rsidR="00147BB7" w:rsidRPr="00F3010C" w:rsidRDefault="00147BB7" w:rsidP="00E33591">
            <w:pPr>
              <w:rPr>
                <w:b w:val="0"/>
                <w:color w:val="4CB2B3" w:themeColor="accent4"/>
              </w:rPr>
            </w:pPr>
            <w:r w:rsidRPr="00F3010C">
              <w:rPr>
                <w:b w:val="0"/>
                <w:color w:val="4CB2B3" w:themeColor="accent4"/>
              </w:rPr>
              <w:t xml:space="preserve"> </w:t>
            </w:r>
          </w:p>
        </w:tc>
        <w:tc>
          <w:tcPr>
            <w:tcW w:w="4178" w:type="dxa"/>
          </w:tcPr>
          <w:p w:rsidR="00147BB7" w:rsidRPr="00F3010C" w:rsidRDefault="00147BB7" w:rsidP="00E33591">
            <w:pPr>
              <w:cnfStyle w:val="000000000000"/>
              <w:rPr>
                <w:color w:val="4CB2B3" w:themeColor="accent4"/>
              </w:rPr>
            </w:pPr>
            <w:r w:rsidRPr="00F3010C">
              <w:rPr>
                <w:color w:val="4CB2B3" w:themeColor="accent4"/>
              </w:rPr>
              <w:t>[ m</w:t>
            </w:r>
            <w:r w:rsidRPr="00F3010C">
              <w:rPr>
                <w:color w:val="4CB2B3" w:themeColor="accent4"/>
                <w:vertAlign w:val="superscript"/>
              </w:rPr>
              <w:t>2</w:t>
            </w:r>
            <w:r w:rsidRPr="00F3010C">
              <w:rPr>
                <w:color w:val="4CB2B3" w:themeColor="accent4"/>
              </w:rPr>
              <w:t>]</w:t>
            </w:r>
          </w:p>
        </w:tc>
      </w:tr>
      <w:tr w:rsidR="00147BB7" w:rsidTr="00E33591">
        <w:trPr>
          <w:cnfStyle w:val="000000100000"/>
          <w:trHeight w:val="380"/>
        </w:trPr>
        <w:tc>
          <w:tcPr>
            <w:cnfStyle w:val="001000000000"/>
            <w:tcW w:w="4152" w:type="dxa"/>
          </w:tcPr>
          <w:p w:rsidR="00147BB7" w:rsidRPr="00FF0BF9" w:rsidRDefault="00147BB7" w:rsidP="00E33591">
            <w:r w:rsidRPr="00FF0BF9">
              <w:t xml:space="preserve">Total </w:t>
            </w:r>
          </w:p>
        </w:tc>
        <w:tc>
          <w:tcPr>
            <w:tcW w:w="4178" w:type="dxa"/>
          </w:tcPr>
          <w:p w:rsidR="00147BB7" w:rsidRPr="00F3010C" w:rsidRDefault="00147BB7" w:rsidP="00E33591">
            <w:pPr>
              <w:cnfStyle w:val="000000100000"/>
              <w:rPr>
                <w:b/>
                <w:color w:val="4CB2B3" w:themeColor="accent4"/>
              </w:rPr>
            </w:pPr>
            <w:r w:rsidRPr="00F3010C">
              <w:rPr>
                <w:b/>
                <w:color w:val="4CB2B3" w:themeColor="accent4"/>
              </w:rPr>
              <w:t>[ m</w:t>
            </w:r>
            <w:r w:rsidRPr="00F3010C">
              <w:rPr>
                <w:b/>
                <w:color w:val="4CB2B3" w:themeColor="accent4"/>
                <w:vertAlign w:val="superscript"/>
              </w:rPr>
              <w:t>2</w:t>
            </w:r>
            <w:r w:rsidRPr="00F3010C">
              <w:rPr>
                <w:b/>
                <w:color w:val="4CB2B3" w:themeColor="accent4"/>
              </w:rPr>
              <w:t>]</w:t>
            </w:r>
          </w:p>
        </w:tc>
      </w:tr>
    </w:tbl>
    <w:p w:rsidR="00F3010C" w:rsidRDefault="00F3010C" w:rsidP="00147BB7"/>
    <w:p w:rsidR="00147BB7" w:rsidRDefault="00147BB7" w:rsidP="00147BB7">
      <w:pPr>
        <w:rPr>
          <w:color w:val="2F333B" w:themeColor="accent3" w:themeShade="BF"/>
        </w:rPr>
      </w:pPr>
      <w:r>
        <w:t xml:space="preserve">Total developed area: </w:t>
      </w:r>
      <w:r w:rsidRPr="00F3010C">
        <w:rPr>
          <w:color w:val="4CB2B3" w:themeColor="accent4"/>
        </w:rPr>
        <w:t>[m</w:t>
      </w:r>
      <w:r w:rsidRPr="00F3010C">
        <w:rPr>
          <w:color w:val="4CB2B3" w:themeColor="accent4"/>
          <w:vertAlign w:val="superscript"/>
        </w:rPr>
        <w:t>2</w:t>
      </w:r>
      <w:r w:rsidRPr="00F3010C">
        <w:rPr>
          <w:color w:val="4CB2B3" w:themeColor="accent4"/>
        </w:rPr>
        <w:t>]</w:t>
      </w:r>
    </w:p>
    <w:p w:rsidR="00147BB7" w:rsidRDefault="00147BB7" w:rsidP="00147BB7">
      <w:pPr>
        <w:rPr>
          <w:color w:val="2F333B" w:themeColor="accent3" w:themeShade="BF"/>
        </w:rPr>
      </w:pPr>
      <w:r w:rsidRPr="007818AA">
        <w:t>Total undeveloped area:</w:t>
      </w:r>
      <w:r>
        <w:rPr>
          <w:color w:val="2F333B" w:themeColor="accent3" w:themeShade="BF"/>
        </w:rPr>
        <w:t xml:space="preserve"> </w:t>
      </w:r>
      <w:r w:rsidRPr="00F3010C">
        <w:rPr>
          <w:color w:val="4CB2B3" w:themeColor="accent4"/>
        </w:rPr>
        <w:t>[m</w:t>
      </w:r>
      <w:r w:rsidRPr="00F3010C">
        <w:rPr>
          <w:color w:val="4CB2B3" w:themeColor="accent4"/>
          <w:vertAlign w:val="superscript"/>
        </w:rPr>
        <w:t>2</w:t>
      </w:r>
      <w:r w:rsidRPr="00F3010C">
        <w:rPr>
          <w:color w:val="4CB2B3" w:themeColor="accent4"/>
        </w:rPr>
        <w:t>]</w:t>
      </w:r>
    </w:p>
    <w:p w:rsidR="00147BB7" w:rsidRDefault="00147BB7" w:rsidP="00147BB7">
      <w:r w:rsidRPr="00FB0092">
        <w:t>Percentage of previously built on area:</w:t>
      </w:r>
      <w:r>
        <w:rPr>
          <w:color w:val="2F333B" w:themeColor="accent3" w:themeShade="BF"/>
        </w:rPr>
        <w:t xml:space="preserve"> </w:t>
      </w:r>
      <w:r w:rsidRPr="00F3010C">
        <w:rPr>
          <w:color w:val="4CB2B3" w:themeColor="accent4"/>
        </w:rPr>
        <w:t>[%]</w:t>
      </w:r>
    </w:p>
    <w:p w:rsidR="00147BB7" w:rsidRDefault="00147BB7" w:rsidP="00147BB7"/>
    <w:p w:rsidR="00147BB7" w:rsidRPr="00F3010C" w:rsidRDefault="00147BB7" w:rsidP="00147BB7">
      <w:pPr>
        <w:rPr>
          <w:color w:val="4CB2B3" w:themeColor="accent4"/>
        </w:rPr>
      </w:pPr>
      <w:r w:rsidRPr="00F3010C">
        <w:rPr>
          <w:color w:val="4CB2B3" w:themeColor="accent4"/>
        </w:rPr>
        <w:t>[Insert hyperlinks to documents which support these claims]</w:t>
      </w:r>
    </w:p>
    <w:p w:rsidR="00147BB7" w:rsidRPr="00C2197B" w:rsidRDefault="00147BB7" w:rsidP="00147BB7"/>
    <w:p w:rsidR="00147BB7" w:rsidRDefault="00147BB7" w:rsidP="00F3010C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  <w:jc w:val="both"/>
      </w:pPr>
      <w:r>
        <w:t xml:space="preserve">Therefore as demonstrated in section 2, this project is eligible to achieve 1 point for the reuse of a site previously built on. 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38233F" w:rsidRDefault="0038233F" w:rsidP="0038233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03" w:rsidRDefault="00C30403" w:rsidP="00460249">
      <w:r>
        <w:separator/>
      </w:r>
    </w:p>
  </w:endnote>
  <w:endnote w:type="continuationSeparator" w:id="1">
    <w:p w:rsidR="00C30403" w:rsidRDefault="00C3040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Pr="00B85A44" w:rsidRDefault="00733314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B85A4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460C67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B85A4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03" w:rsidRDefault="00C30403" w:rsidP="00460249">
      <w:r>
        <w:separator/>
      </w:r>
    </w:p>
  </w:footnote>
  <w:footnote w:type="continuationSeparator" w:id="1">
    <w:p w:rsidR="00C30403" w:rsidRDefault="00C3040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Default="00B85A4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85A44" w:rsidRPr="00B85A44" w:rsidRDefault="00B85A44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r w:rsidR="00F3010C">
      <w:rPr>
        <w:sz w:val="16"/>
        <w:szCs w:val="16"/>
      </w:rPr>
      <w:t>October 2013</w:t>
    </w:r>
    <w:r>
      <w:rPr>
        <w:sz w:val="16"/>
        <w:szCs w:val="16"/>
      </w:rPr>
      <w:tab/>
    </w:r>
  </w:p>
  <w:p w:rsidR="00B85A44" w:rsidRPr="000650AC" w:rsidRDefault="00B85A44" w:rsidP="00B85A44">
    <w:pPr>
      <w:pStyle w:val="Header"/>
      <w:rPr>
        <w:rFonts w:cs="Arial"/>
        <w:color w:val="00B0F0"/>
        <w:szCs w:val="18"/>
      </w:rPr>
    </w:pPr>
  </w:p>
  <w:p w:rsidR="00B85A44" w:rsidRDefault="00B85A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8B45D34"/>
    <w:multiLevelType w:val="hybridMultilevel"/>
    <w:tmpl w:val="C5283E06"/>
    <w:lvl w:ilvl="0" w:tplc="0B422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1"/>
  </w:num>
  <w:num w:numId="16">
    <w:abstractNumId w:val="16"/>
  </w:num>
  <w:num w:numId="17">
    <w:abstractNumId w:val="22"/>
  </w:num>
  <w:num w:numId="18">
    <w:abstractNumId w:val="23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7"/>
  </w:num>
  <w:num w:numId="23">
    <w:abstractNumId w:val="17"/>
  </w:num>
  <w:num w:numId="24">
    <w:abstractNumId w:val="25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650AC"/>
    <w:rsid w:val="00083F24"/>
    <w:rsid w:val="000E1DB9"/>
    <w:rsid w:val="00107548"/>
    <w:rsid w:val="00147BB7"/>
    <w:rsid w:val="00163A48"/>
    <w:rsid w:val="0017224D"/>
    <w:rsid w:val="001E5C85"/>
    <w:rsid w:val="00225AD0"/>
    <w:rsid w:val="00226FF3"/>
    <w:rsid w:val="00232F6C"/>
    <w:rsid w:val="00252745"/>
    <w:rsid w:val="00293B37"/>
    <w:rsid w:val="002D0C73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60C67"/>
    <w:rsid w:val="004A750A"/>
    <w:rsid w:val="004D7CEE"/>
    <w:rsid w:val="0051588D"/>
    <w:rsid w:val="00551E11"/>
    <w:rsid w:val="00584F37"/>
    <w:rsid w:val="005A5250"/>
    <w:rsid w:val="005F735B"/>
    <w:rsid w:val="006234CA"/>
    <w:rsid w:val="00692DDF"/>
    <w:rsid w:val="006C0BBD"/>
    <w:rsid w:val="00703682"/>
    <w:rsid w:val="00733314"/>
    <w:rsid w:val="0079553F"/>
    <w:rsid w:val="008410D5"/>
    <w:rsid w:val="008543E7"/>
    <w:rsid w:val="0086285C"/>
    <w:rsid w:val="00863344"/>
    <w:rsid w:val="00873478"/>
    <w:rsid w:val="008A3A0F"/>
    <w:rsid w:val="008D2097"/>
    <w:rsid w:val="00916944"/>
    <w:rsid w:val="00954CBF"/>
    <w:rsid w:val="009674E2"/>
    <w:rsid w:val="00A03694"/>
    <w:rsid w:val="00A04A3B"/>
    <w:rsid w:val="00A14092"/>
    <w:rsid w:val="00A15F2F"/>
    <w:rsid w:val="00AB1711"/>
    <w:rsid w:val="00AB7F1D"/>
    <w:rsid w:val="00AC7CB1"/>
    <w:rsid w:val="00AD0EBA"/>
    <w:rsid w:val="00AD6ECD"/>
    <w:rsid w:val="00B22F29"/>
    <w:rsid w:val="00B26A4D"/>
    <w:rsid w:val="00B54E07"/>
    <w:rsid w:val="00B85A44"/>
    <w:rsid w:val="00B913FE"/>
    <w:rsid w:val="00BE2DB1"/>
    <w:rsid w:val="00BE3D35"/>
    <w:rsid w:val="00C1485E"/>
    <w:rsid w:val="00C30403"/>
    <w:rsid w:val="00C30E65"/>
    <w:rsid w:val="00C54859"/>
    <w:rsid w:val="00CD05B9"/>
    <w:rsid w:val="00CD1831"/>
    <w:rsid w:val="00CF0105"/>
    <w:rsid w:val="00D42976"/>
    <w:rsid w:val="00E05A87"/>
    <w:rsid w:val="00E407C8"/>
    <w:rsid w:val="00E42DD8"/>
    <w:rsid w:val="00E47464"/>
    <w:rsid w:val="00F05524"/>
    <w:rsid w:val="00F3010C"/>
    <w:rsid w:val="00F46F44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460C67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147BB7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147BB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147BB7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147BB7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7B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460C6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0C67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147BB7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147BB7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147BB7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147BB7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147BB7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147BB7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147BB7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147BB7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7BB7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BB7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147BB7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147BB7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147BB7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147BB7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147BB7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147BB7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147BB7"/>
  </w:style>
  <w:style w:type="paragraph" w:customStyle="1" w:styleId="BodyofTextBulletpoint3rdlevel">
    <w:name w:val="Body of Text – Bullet point (3rd level)"/>
    <w:basedOn w:val="BodyoftextBulletPoint"/>
    <w:qFormat/>
    <w:rsid w:val="00147BB7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147BB7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147BB7"/>
  </w:style>
  <w:style w:type="character" w:customStyle="1" w:styleId="Documenttextunderlined">
    <w:name w:val="Document text underlined"/>
    <w:basedOn w:val="DefaultParagraphFont"/>
    <w:uiPriority w:val="1"/>
    <w:qFormat/>
    <w:rsid w:val="00147BB7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147BB7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147BB7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147BB7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147BB7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147BB7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147BB7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147BB7"/>
    <w:rPr>
      <w:b/>
    </w:rPr>
  </w:style>
  <w:style w:type="character" w:customStyle="1" w:styleId="Dateissued">
    <w:name w:val="Date issued"/>
    <w:basedOn w:val="DefaultParagraphFont"/>
    <w:uiPriority w:val="1"/>
    <w:qFormat/>
    <w:rsid w:val="00147BB7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147BB7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147BB7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147BB7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147BB7"/>
  </w:style>
  <w:style w:type="paragraph" w:customStyle="1" w:styleId="HeadingSimilarStyle">
    <w:name w:val="Heading Similar Style"/>
    <w:basedOn w:val="Normal"/>
    <w:link w:val="HeadingSimilarStyleChar"/>
    <w:qFormat/>
    <w:rsid w:val="00147BB7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147BB7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44227F"/>
    <w:rsid w:val="00485CAF"/>
    <w:rsid w:val="00541CE2"/>
    <w:rsid w:val="005E4C48"/>
    <w:rsid w:val="00625C95"/>
    <w:rsid w:val="00677127"/>
    <w:rsid w:val="0069021A"/>
    <w:rsid w:val="006A32CB"/>
    <w:rsid w:val="00700575"/>
    <w:rsid w:val="007B1981"/>
    <w:rsid w:val="00A51FB4"/>
    <w:rsid w:val="00BA4F22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1E926-CCDE-4391-9407-EEFB875A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4</cp:revision>
  <dcterms:created xsi:type="dcterms:W3CDTF">2013-10-20T23:55:00Z</dcterms:created>
  <dcterms:modified xsi:type="dcterms:W3CDTF">2013-11-04T05:18:00Z</dcterms:modified>
</cp:coreProperties>
</file>