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050D72" w:rsidP="00F46F44">
      <w:pPr>
        <w:pStyle w:val="Heading1"/>
      </w:pPr>
      <w:bookmarkStart w:id="0" w:name="_Toc94610314"/>
      <w:bookmarkStart w:id="1" w:name="_Toc98301847"/>
      <w:r w:rsidRPr="00050D72">
        <w:rPr>
          <w:rStyle w:val="DocumentTextGreenBold"/>
        </w:rPr>
        <w:pict>
          <v:roundrect id="_x0000_s1026" style="position:absolute;margin-left:5829.2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847021" w:rsidRPr="00FD57F2" w:rsidRDefault="00847021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BD1433" w:rsidRPr="00BD1433">
        <w:rPr>
          <w:rStyle w:val="DocumentTextGreenBold"/>
        </w:rPr>
        <w:t xml:space="preserve">Green Star </w:t>
      </w:r>
      <w:r w:rsidR="00BD1433" w:rsidRPr="00BD1433">
        <w:rPr>
          <w:rStyle w:val="DocumentTextGreenBold"/>
        </w:rPr>
        <w:br/>
        <w:t>Short Report</w:t>
      </w:r>
      <w:r w:rsidR="00BD1433" w:rsidRPr="00BD1433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 xml:space="preserve">Credit: </w:t>
      </w:r>
      <w:r w:rsidR="00847021">
        <w:rPr>
          <w:rStyle w:val="DocumentTextbody"/>
        </w:rPr>
        <w:t xml:space="preserve">IEQ-6 High Frequency Ballasts </w:t>
      </w:r>
      <w:r w:rsidR="00D5376E">
        <w:rPr>
          <w:rStyle w:val="DocumentTextbody"/>
        </w:rPr>
        <w:t xml:space="preserve"> </w:t>
      </w:r>
      <w:r w:rsidR="007E353E">
        <w:rPr>
          <w:rStyle w:val="DocumentTextbody"/>
        </w:rPr>
        <w:t xml:space="preserve"> 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B8616C">
        <w:rPr>
          <w:rFonts w:eastAsia="Calibri"/>
          <w:b w:val="0"/>
        </w:rPr>
        <w:t>1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</w:t>
      </w:r>
      <w:r w:rsidR="00B8616C">
        <w:rPr>
          <w:rStyle w:val="DocumentTextGreenBold"/>
          <w:color w:val="4CB2B3" w:themeColor="accent4"/>
        </w:rPr>
        <w:t>1</w:t>
      </w:r>
      <w:r w:rsidR="0099155A">
        <w:rPr>
          <w:rStyle w:val="DocumentTextGreenBold"/>
          <w:color w:val="4CB2B3" w:themeColor="accent4"/>
        </w:rPr>
        <w:t>]</w:t>
      </w:r>
    </w:p>
    <w:bookmarkEnd w:id="0"/>
    <w:bookmarkEnd w:id="1"/>
    <w:p w:rsidR="005B4F5F" w:rsidRDefault="007E0C5A">
      <w:pPr>
        <w:pStyle w:val="Numberedheading"/>
      </w:pPr>
      <w:r>
        <w:t xml:space="preserve">1. </w:t>
      </w:r>
      <w:r w:rsidR="00847021">
        <w:t xml:space="preserve">Credit Compliance </w:t>
      </w:r>
    </w:p>
    <w:p w:rsidR="00847021" w:rsidRDefault="00847021" w:rsidP="00847021">
      <w:pPr>
        <w:pStyle w:val="Bluetext"/>
      </w:pPr>
      <w:r w:rsidRPr="00847021">
        <w:rPr>
          <w:color w:val="auto"/>
        </w:rPr>
        <w:t>The total Class 5 Commercial Office NLA for this project is</w:t>
      </w:r>
      <w:r>
        <w:t xml:space="preserve"> </w:t>
      </w:r>
      <w:r w:rsidRPr="00391850">
        <w:t>[insert value m</w:t>
      </w:r>
      <w:r w:rsidRPr="00391850">
        <w:rPr>
          <w:vertAlign w:val="superscript"/>
        </w:rPr>
        <w:t>2</w:t>
      </w:r>
      <w:r w:rsidRPr="00391850">
        <w:t>]</w:t>
      </w:r>
      <w:r w:rsidRPr="00847021">
        <w:rPr>
          <w:color w:val="auto"/>
        </w:rPr>
        <w:t xml:space="preserve">. The total area of Class 5 Commercial Office NLA which has coverage of fluorescent luminaries with high frequency ballasts is </w:t>
      </w:r>
      <w:r w:rsidRPr="00391850">
        <w:t>[Insert value m</w:t>
      </w:r>
      <w:r w:rsidRPr="00391850">
        <w:rPr>
          <w:vertAlign w:val="superscript"/>
        </w:rPr>
        <w:t>2</w:t>
      </w:r>
      <w:r w:rsidRPr="00391850">
        <w:t>].</w:t>
      </w:r>
      <w:r>
        <w:rPr>
          <w:color w:val="2F333B" w:themeColor="accent3" w:themeShade="BF"/>
        </w:rPr>
        <w:t xml:space="preserve"> </w:t>
      </w:r>
      <w:r w:rsidRPr="00847021">
        <w:rPr>
          <w:color w:val="auto"/>
        </w:rPr>
        <w:t>This represents</w:t>
      </w:r>
      <w:r>
        <w:t xml:space="preserve"> [</w:t>
      </w:r>
      <w:r>
        <w:rPr>
          <w:rFonts w:cs="Arial"/>
        </w:rPr>
        <w:t>≥</w:t>
      </w:r>
      <w:r>
        <w:t>95%</w:t>
      </w:r>
      <w:r w:rsidRPr="00391850">
        <w:t>]</w:t>
      </w:r>
      <w:r>
        <w:t xml:space="preserve">.     </w:t>
      </w:r>
    </w:p>
    <w:p w:rsidR="00D5376E" w:rsidRDefault="00D5376E" w:rsidP="00D5376E">
      <w:r>
        <w:t>Table 1 includes details of how this credit is being achieved.</w:t>
      </w:r>
    </w:p>
    <w:p w:rsidR="00D5376E" w:rsidRPr="00D5376E" w:rsidRDefault="00D5376E" w:rsidP="00D5376E">
      <w:pPr>
        <w:pStyle w:val="Caption"/>
        <w:rPr>
          <w:sz w:val="22"/>
          <w:szCs w:val="22"/>
        </w:rPr>
      </w:pPr>
      <w:r w:rsidRPr="00D5376E">
        <w:rPr>
          <w:sz w:val="22"/>
          <w:szCs w:val="22"/>
        </w:rPr>
        <w:t xml:space="preserve">Table </w:t>
      </w:r>
      <w:r w:rsidR="00050D72" w:rsidRPr="00D5376E">
        <w:rPr>
          <w:sz w:val="22"/>
          <w:szCs w:val="22"/>
        </w:rPr>
        <w:fldChar w:fldCharType="begin"/>
      </w:r>
      <w:r w:rsidRPr="00D5376E">
        <w:rPr>
          <w:sz w:val="22"/>
          <w:szCs w:val="22"/>
        </w:rPr>
        <w:instrText xml:space="preserve"> SEQ Table \* ARABIC </w:instrText>
      </w:r>
      <w:r w:rsidR="00050D72" w:rsidRPr="00D5376E">
        <w:rPr>
          <w:sz w:val="22"/>
          <w:szCs w:val="22"/>
        </w:rPr>
        <w:fldChar w:fldCharType="separate"/>
      </w:r>
      <w:r w:rsidR="00CA3223">
        <w:rPr>
          <w:noProof/>
          <w:sz w:val="22"/>
          <w:szCs w:val="22"/>
        </w:rPr>
        <w:t>1</w:t>
      </w:r>
      <w:r w:rsidR="00050D72" w:rsidRPr="00D5376E">
        <w:rPr>
          <w:sz w:val="22"/>
          <w:szCs w:val="22"/>
        </w:rPr>
        <w:fldChar w:fldCharType="end"/>
      </w:r>
      <w:r w:rsidRPr="00D5376E">
        <w:rPr>
          <w:sz w:val="22"/>
          <w:szCs w:val="22"/>
        </w:rPr>
        <w:t xml:space="preserve"> Calculati</w:t>
      </w:r>
      <w:r w:rsidR="00847021">
        <w:rPr>
          <w:sz w:val="22"/>
          <w:szCs w:val="22"/>
        </w:rPr>
        <w:t xml:space="preserve">on Summary </w:t>
      </w:r>
      <w:r w:rsidRPr="00D5376E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02"/>
        <w:gridCol w:w="2462"/>
        <w:gridCol w:w="2534"/>
        <w:gridCol w:w="2105"/>
        <w:gridCol w:w="1943"/>
      </w:tblGrid>
      <w:tr w:rsidR="00847021" w:rsidTr="00847021">
        <w:trPr>
          <w:cnfStyle w:val="100000000000"/>
        </w:trPr>
        <w:tc>
          <w:tcPr>
            <w:cnfStyle w:val="001000000000"/>
            <w:tcW w:w="1502" w:type="dxa"/>
          </w:tcPr>
          <w:p w:rsidR="00847021" w:rsidRPr="00D5376E" w:rsidRDefault="00847021" w:rsidP="00D53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Level </w:t>
            </w:r>
          </w:p>
        </w:tc>
        <w:tc>
          <w:tcPr>
            <w:tcW w:w="2462" w:type="dxa"/>
          </w:tcPr>
          <w:p w:rsidR="00847021" w:rsidRPr="00D5376E" w:rsidRDefault="00847021" w:rsidP="00847021">
            <w:pPr>
              <w:jc w:val="center"/>
              <w:cnfStyle w:val="1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Description/ Reference of </w:t>
            </w:r>
            <w:proofErr w:type="spellStart"/>
            <w:r>
              <w:rPr>
                <w:sz w:val="22"/>
                <w:szCs w:val="22"/>
              </w:rPr>
              <w:t>Luminaires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2534" w:type="dxa"/>
          </w:tcPr>
          <w:p w:rsidR="00847021" w:rsidRPr="00D5376E" w:rsidRDefault="00847021" w:rsidP="00847021">
            <w:pPr>
              <w:jc w:val="center"/>
              <w:cnfStyle w:val="1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High Frequency Ballasts? </w:t>
            </w:r>
            <w:r>
              <w:rPr>
                <w:sz w:val="22"/>
                <w:szCs w:val="22"/>
              </w:rPr>
              <w:br/>
              <w:t xml:space="preserve">Y/N </w:t>
            </w:r>
          </w:p>
        </w:tc>
        <w:tc>
          <w:tcPr>
            <w:tcW w:w="2105" w:type="dxa"/>
          </w:tcPr>
          <w:p w:rsidR="00847021" w:rsidRPr="00847021" w:rsidRDefault="00847021" w:rsidP="00847021">
            <w:pPr>
              <w:jc w:val="center"/>
              <w:cnfStyle w:val="100000000000"/>
              <w:rPr>
                <w:sz w:val="22"/>
                <w:szCs w:val="22"/>
              </w:rPr>
            </w:pPr>
            <w:r w:rsidRPr="00847021">
              <w:rPr>
                <w:sz w:val="22"/>
                <w:szCs w:val="22"/>
              </w:rPr>
              <w:t>Level Class 5 NLA (m</w:t>
            </w:r>
            <w:r w:rsidRPr="00847021">
              <w:rPr>
                <w:sz w:val="22"/>
                <w:szCs w:val="22"/>
                <w:vertAlign w:val="superscript"/>
              </w:rPr>
              <w:t>2</w:t>
            </w:r>
            <w:r w:rsidRPr="00847021">
              <w:rPr>
                <w:sz w:val="22"/>
                <w:szCs w:val="22"/>
              </w:rPr>
              <w:t>)</w:t>
            </w:r>
          </w:p>
        </w:tc>
        <w:tc>
          <w:tcPr>
            <w:tcW w:w="1943" w:type="dxa"/>
          </w:tcPr>
          <w:p w:rsidR="00847021" w:rsidRPr="00847021" w:rsidRDefault="00847021" w:rsidP="00847021">
            <w:pPr>
              <w:jc w:val="center"/>
              <w:cnfStyle w:val="100000000000"/>
              <w:rPr>
                <w:sz w:val="22"/>
                <w:szCs w:val="22"/>
              </w:rPr>
            </w:pPr>
            <w:r w:rsidRPr="00847021">
              <w:rPr>
                <w:sz w:val="22"/>
                <w:szCs w:val="22"/>
              </w:rPr>
              <w:t>Compliant Class 5 NLA (m</w:t>
            </w:r>
            <w:r w:rsidRPr="00847021">
              <w:rPr>
                <w:sz w:val="22"/>
                <w:szCs w:val="22"/>
                <w:vertAlign w:val="superscript"/>
              </w:rPr>
              <w:t>2</w:t>
            </w:r>
            <w:r w:rsidRPr="00847021">
              <w:rPr>
                <w:sz w:val="22"/>
                <w:szCs w:val="22"/>
              </w:rPr>
              <w:t>)</w:t>
            </w:r>
          </w:p>
        </w:tc>
      </w:tr>
      <w:tr w:rsidR="00847021" w:rsidTr="00847021">
        <w:trPr>
          <w:cnfStyle w:val="000000100000"/>
        </w:trPr>
        <w:tc>
          <w:tcPr>
            <w:cnfStyle w:val="001000000000"/>
            <w:tcW w:w="1502" w:type="dxa"/>
          </w:tcPr>
          <w:p w:rsidR="00847021" w:rsidRPr="00D5376E" w:rsidRDefault="00847021" w:rsidP="00D5376E">
            <w:pPr>
              <w:pStyle w:val="Bluetext"/>
              <w:rPr>
                <w:b w:val="0"/>
              </w:rPr>
            </w:pPr>
            <w:r w:rsidRPr="00D5376E">
              <w:rPr>
                <w:b w:val="0"/>
              </w:rPr>
              <w:t>[Level 1]</w:t>
            </w:r>
          </w:p>
        </w:tc>
        <w:tc>
          <w:tcPr>
            <w:tcW w:w="2462" w:type="dxa"/>
          </w:tcPr>
          <w:p w:rsidR="00847021" w:rsidRDefault="00847021" w:rsidP="00D5376E">
            <w:pPr>
              <w:cnfStyle w:val="000000100000"/>
            </w:pPr>
          </w:p>
        </w:tc>
        <w:tc>
          <w:tcPr>
            <w:tcW w:w="2534" w:type="dxa"/>
          </w:tcPr>
          <w:p w:rsidR="00847021" w:rsidRDefault="00847021" w:rsidP="00D5376E">
            <w:pPr>
              <w:cnfStyle w:val="000000100000"/>
            </w:pPr>
          </w:p>
        </w:tc>
        <w:tc>
          <w:tcPr>
            <w:tcW w:w="2105" w:type="dxa"/>
          </w:tcPr>
          <w:p w:rsidR="00847021" w:rsidRDefault="00847021" w:rsidP="00847021">
            <w:pPr>
              <w:pStyle w:val="Bluetext"/>
              <w:cnfStyle w:val="000000100000"/>
            </w:pPr>
            <w:r>
              <w:t xml:space="preserve">[Example – 100] </w:t>
            </w:r>
          </w:p>
        </w:tc>
        <w:tc>
          <w:tcPr>
            <w:tcW w:w="1943" w:type="dxa"/>
          </w:tcPr>
          <w:p w:rsidR="00847021" w:rsidRDefault="00847021" w:rsidP="00847021">
            <w:pPr>
              <w:pStyle w:val="Bluetext"/>
              <w:cnfStyle w:val="000000100000"/>
            </w:pPr>
            <w:r>
              <w:t>[Example – 60]</w:t>
            </w:r>
          </w:p>
        </w:tc>
      </w:tr>
      <w:tr w:rsidR="00847021" w:rsidTr="00847021">
        <w:trPr>
          <w:trHeight w:val="417"/>
        </w:trPr>
        <w:tc>
          <w:tcPr>
            <w:cnfStyle w:val="001000000000"/>
            <w:tcW w:w="1502" w:type="dxa"/>
          </w:tcPr>
          <w:p w:rsidR="00847021" w:rsidRPr="00D5376E" w:rsidRDefault="00847021" w:rsidP="00D5376E">
            <w:pPr>
              <w:pStyle w:val="Bluetext"/>
              <w:rPr>
                <w:b w:val="0"/>
              </w:rPr>
            </w:pPr>
            <w:r w:rsidRPr="00D5376E">
              <w:rPr>
                <w:b w:val="0"/>
              </w:rPr>
              <w:t>[Level 2]</w:t>
            </w:r>
          </w:p>
        </w:tc>
        <w:tc>
          <w:tcPr>
            <w:tcW w:w="2462" w:type="dxa"/>
          </w:tcPr>
          <w:p w:rsidR="00847021" w:rsidRDefault="00847021" w:rsidP="00D5376E">
            <w:pPr>
              <w:cnfStyle w:val="000000000000"/>
            </w:pPr>
          </w:p>
        </w:tc>
        <w:tc>
          <w:tcPr>
            <w:tcW w:w="2534" w:type="dxa"/>
          </w:tcPr>
          <w:p w:rsidR="00847021" w:rsidRDefault="00847021" w:rsidP="00D5376E">
            <w:pPr>
              <w:cnfStyle w:val="000000000000"/>
            </w:pPr>
          </w:p>
        </w:tc>
        <w:tc>
          <w:tcPr>
            <w:tcW w:w="2105" w:type="dxa"/>
          </w:tcPr>
          <w:p w:rsidR="00847021" w:rsidRDefault="00847021" w:rsidP="00847021">
            <w:pPr>
              <w:pStyle w:val="Bluetext"/>
              <w:cnfStyle w:val="000000000000"/>
            </w:pPr>
            <w:r>
              <w:t xml:space="preserve">[Example – 100] </w:t>
            </w:r>
          </w:p>
        </w:tc>
        <w:tc>
          <w:tcPr>
            <w:tcW w:w="1943" w:type="dxa"/>
          </w:tcPr>
          <w:p w:rsidR="00847021" w:rsidRDefault="00847021" w:rsidP="00847021">
            <w:pPr>
              <w:pStyle w:val="Bluetext"/>
              <w:cnfStyle w:val="000000000000"/>
            </w:pPr>
            <w:r>
              <w:t>[Example – 60]</w:t>
            </w:r>
          </w:p>
        </w:tc>
      </w:tr>
      <w:tr w:rsidR="00847021" w:rsidTr="00847021">
        <w:trPr>
          <w:cnfStyle w:val="000000100000"/>
        </w:trPr>
        <w:tc>
          <w:tcPr>
            <w:cnfStyle w:val="001000000000"/>
            <w:tcW w:w="1502" w:type="dxa"/>
          </w:tcPr>
          <w:p w:rsidR="00847021" w:rsidRPr="00D5376E" w:rsidRDefault="00847021" w:rsidP="00D5376E">
            <w:pPr>
              <w:pStyle w:val="Bluetext"/>
              <w:rPr>
                <w:b w:val="0"/>
              </w:rPr>
            </w:pPr>
            <w:r w:rsidRPr="00D5376E">
              <w:rPr>
                <w:b w:val="0"/>
              </w:rPr>
              <w:t>[Level 3]</w:t>
            </w:r>
          </w:p>
        </w:tc>
        <w:tc>
          <w:tcPr>
            <w:tcW w:w="2462" w:type="dxa"/>
          </w:tcPr>
          <w:p w:rsidR="00847021" w:rsidRDefault="00847021" w:rsidP="00D5376E">
            <w:pPr>
              <w:cnfStyle w:val="000000100000"/>
            </w:pPr>
          </w:p>
        </w:tc>
        <w:tc>
          <w:tcPr>
            <w:tcW w:w="2534" w:type="dxa"/>
          </w:tcPr>
          <w:p w:rsidR="00847021" w:rsidRDefault="00847021" w:rsidP="00D5376E">
            <w:pPr>
              <w:cnfStyle w:val="000000100000"/>
            </w:pPr>
          </w:p>
        </w:tc>
        <w:tc>
          <w:tcPr>
            <w:tcW w:w="2105" w:type="dxa"/>
          </w:tcPr>
          <w:p w:rsidR="00847021" w:rsidRDefault="00847021" w:rsidP="00847021">
            <w:pPr>
              <w:pStyle w:val="Bluetext"/>
              <w:cnfStyle w:val="000000100000"/>
            </w:pPr>
            <w:r>
              <w:t xml:space="preserve">[Example – 100] </w:t>
            </w:r>
          </w:p>
        </w:tc>
        <w:tc>
          <w:tcPr>
            <w:tcW w:w="1943" w:type="dxa"/>
          </w:tcPr>
          <w:p w:rsidR="00847021" w:rsidRDefault="00847021" w:rsidP="00847021">
            <w:pPr>
              <w:pStyle w:val="Bluetext"/>
              <w:cnfStyle w:val="000000100000"/>
            </w:pPr>
            <w:r>
              <w:t>[Example – 60]</w:t>
            </w:r>
          </w:p>
        </w:tc>
      </w:tr>
      <w:tr w:rsidR="00847021" w:rsidTr="00847021">
        <w:tc>
          <w:tcPr>
            <w:cnfStyle w:val="001000000000"/>
            <w:tcW w:w="1502" w:type="dxa"/>
          </w:tcPr>
          <w:p w:rsidR="00847021" w:rsidRPr="00D5376E" w:rsidRDefault="00847021" w:rsidP="00D5376E">
            <w:pPr>
              <w:pStyle w:val="Bluetext"/>
              <w:rPr>
                <w:b w:val="0"/>
              </w:rPr>
            </w:pPr>
          </w:p>
        </w:tc>
        <w:tc>
          <w:tcPr>
            <w:tcW w:w="2462" w:type="dxa"/>
          </w:tcPr>
          <w:p w:rsidR="00847021" w:rsidRDefault="00847021" w:rsidP="00D5376E">
            <w:pPr>
              <w:cnfStyle w:val="000000000000"/>
            </w:pPr>
          </w:p>
        </w:tc>
        <w:tc>
          <w:tcPr>
            <w:tcW w:w="2534" w:type="dxa"/>
          </w:tcPr>
          <w:p w:rsidR="00847021" w:rsidRDefault="00847021" w:rsidP="00D5376E">
            <w:pPr>
              <w:cnfStyle w:val="000000000000"/>
            </w:pPr>
          </w:p>
        </w:tc>
        <w:tc>
          <w:tcPr>
            <w:tcW w:w="2105" w:type="dxa"/>
          </w:tcPr>
          <w:p w:rsidR="00847021" w:rsidRDefault="00847021" w:rsidP="00847021">
            <w:pPr>
              <w:pStyle w:val="Bluetext"/>
              <w:cnfStyle w:val="000000000000"/>
            </w:pPr>
          </w:p>
        </w:tc>
        <w:tc>
          <w:tcPr>
            <w:tcW w:w="1943" w:type="dxa"/>
          </w:tcPr>
          <w:p w:rsidR="00847021" w:rsidRDefault="00847021" w:rsidP="00847021">
            <w:pPr>
              <w:pStyle w:val="Bluetext"/>
              <w:cnfStyle w:val="000000000000"/>
            </w:pPr>
          </w:p>
        </w:tc>
      </w:tr>
      <w:tr w:rsidR="00847021" w:rsidTr="00847021">
        <w:trPr>
          <w:cnfStyle w:val="000000100000"/>
        </w:trPr>
        <w:tc>
          <w:tcPr>
            <w:cnfStyle w:val="001000000000"/>
            <w:tcW w:w="1502" w:type="dxa"/>
          </w:tcPr>
          <w:p w:rsidR="00847021" w:rsidRPr="00D5376E" w:rsidRDefault="00847021" w:rsidP="00D5376E">
            <w:pPr>
              <w:pStyle w:val="Bluetext"/>
            </w:pPr>
          </w:p>
        </w:tc>
        <w:tc>
          <w:tcPr>
            <w:tcW w:w="2462" w:type="dxa"/>
          </w:tcPr>
          <w:p w:rsidR="00847021" w:rsidRDefault="00847021" w:rsidP="00D5376E">
            <w:pPr>
              <w:cnfStyle w:val="000000100000"/>
            </w:pPr>
          </w:p>
        </w:tc>
        <w:tc>
          <w:tcPr>
            <w:tcW w:w="2534" w:type="dxa"/>
          </w:tcPr>
          <w:p w:rsidR="00847021" w:rsidRDefault="00847021" w:rsidP="00D5376E">
            <w:pPr>
              <w:cnfStyle w:val="000000100000"/>
            </w:pPr>
          </w:p>
        </w:tc>
        <w:tc>
          <w:tcPr>
            <w:tcW w:w="2105" w:type="dxa"/>
          </w:tcPr>
          <w:p w:rsidR="00847021" w:rsidRDefault="00847021" w:rsidP="00847021">
            <w:pPr>
              <w:pStyle w:val="Bluetext"/>
              <w:cnfStyle w:val="000000100000"/>
            </w:pPr>
          </w:p>
        </w:tc>
        <w:tc>
          <w:tcPr>
            <w:tcW w:w="1943" w:type="dxa"/>
          </w:tcPr>
          <w:p w:rsidR="00847021" w:rsidRDefault="00847021" w:rsidP="00847021">
            <w:pPr>
              <w:pStyle w:val="Bluetext"/>
              <w:cnfStyle w:val="000000100000"/>
            </w:pPr>
          </w:p>
        </w:tc>
      </w:tr>
      <w:tr w:rsidR="00847021" w:rsidTr="00847021">
        <w:tc>
          <w:tcPr>
            <w:cnfStyle w:val="001000000000"/>
            <w:tcW w:w="1502" w:type="dxa"/>
          </w:tcPr>
          <w:p w:rsidR="00847021" w:rsidRPr="00D5376E" w:rsidRDefault="00847021" w:rsidP="00D5376E">
            <w:pPr>
              <w:pStyle w:val="Bluetext"/>
            </w:pPr>
          </w:p>
        </w:tc>
        <w:tc>
          <w:tcPr>
            <w:tcW w:w="2462" w:type="dxa"/>
          </w:tcPr>
          <w:p w:rsidR="00847021" w:rsidRDefault="00847021" w:rsidP="00D5376E">
            <w:pPr>
              <w:cnfStyle w:val="000000000000"/>
            </w:pPr>
          </w:p>
        </w:tc>
        <w:tc>
          <w:tcPr>
            <w:tcW w:w="2534" w:type="dxa"/>
          </w:tcPr>
          <w:p w:rsidR="00847021" w:rsidRDefault="00847021" w:rsidP="00D5376E">
            <w:pPr>
              <w:cnfStyle w:val="000000000000"/>
            </w:pPr>
          </w:p>
        </w:tc>
        <w:tc>
          <w:tcPr>
            <w:tcW w:w="2105" w:type="dxa"/>
          </w:tcPr>
          <w:p w:rsidR="00847021" w:rsidRDefault="00847021" w:rsidP="00847021">
            <w:pPr>
              <w:pStyle w:val="Bluetext"/>
              <w:cnfStyle w:val="000000000000"/>
            </w:pPr>
          </w:p>
        </w:tc>
        <w:tc>
          <w:tcPr>
            <w:tcW w:w="1943" w:type="dxa"/>
          </w:tcPr>
          <w:p w:rsidR="00847021" w:rsidRDefault="00847021" w:rsidP="00847021">
            <w:pPr>
              <w:pStyle w:val="Bluetext"/>
              <w:cnfStyle w:val="000000000000"/>
            </w:pPr>
          </w:p>
        </w:tc>
      </w:tr>
      <w:tr w:rsidR="00847021" w:rsidTr="00847021">
        <w:trPr>
          <w:cnfStyle w:val="000000100000"/>
        </w:trPr>
        <w:tc>
          <w:tcPr>
            <w:cnfStyle w:val="001000000000"/>
            <w:tcW w:w="6498" w:type="dxa"/>
            <w:gridSpan w:val="3"/>
          </w:tcPr>
          <w:p w:rsidR="00847021" w:rsidRDefault="00847021" w:rsidP="00D5376E">
            <w:r>
              <w:t>Totals</w:t>
            </w:r>
          </w:p>
        </w:tc>
        <w:tc>
          <w:tcPr>
            <w:tcW w:w="2105" w:type="dxa"/>
          </w:tcPr>
          <w:p w:rsidR="00847021" w:rsidRDefault="00847021" w:rsidP="00847021">
            <w:pPr>
              <w:pStyle w:val="Bluetext"/>
              <w:cnfStyle w:val="000000100000"/>
            </w:pPr>
            <w:r>
              <w:t>[Example – 300]</w:t>
            </w:r>
          </w:p>
        </w:tc>
        <w:tc>
          <w:tcPr>
            <w:tcW w:w="1943" w:type="dxa"/>
          </w:tcPr>
          <w:p w:rsidR="00847021" w:rsidRDefault="00847021" w:rsidP="00847021">
            <w:pPr>
              <w:pStyle w:val="Bluetext"/>
              <w:cnfStyle w:val="000000100000"/>
            </w:pPr>
            <w:r>
              <w:t>[Example 180]</w:t>
            </w:r>
          </w:p>
        </w:tc>
      </w:tr>
      <w:tr w:rsidR="00847021" w:rsidTr="00847021">
        <w:tc>
          <w:tcPr>
            <w:cnfStyle w:val="001000000000"/>
            <w:tcW w:w="8603" w:type="dxa"/>
            <w:gridSpan w:val="4"/>
          </w:tcPr>
          <w:p w:rsidR="00847021" w:rsidRDefault="00847021" w:rsidP="00847021">
            <w:pPr>
              <w:pStyle w:val="Bluetext"/>
            </w:pPr>
            <w:r>
              <w:t>Percentage of compliant Class 5 NLA</w:t>
            </w:r>
          </w:p>
        </w:tc>
        <w:tc>
          <w:tcPr>
            <w:tcW w:w="1943" w:type="dxa"/>
          </w:tcPr>
          <w:p w:rsidR="00847021" w:rsidRDefault="00847021" w:rsidP="00847021">
            <w:pPr>
              <w:pStyle w:val="Bluetext"/>
              <w:cnfStyle w:val="000000000000"/>
            </w:pPr>
            <w:r>
              <w:t>[Example 60%]</w:t>
            </w:r>
          </w:p>
        </w:tc>
      </w:tr>
    </w:tbl>
    <w:p w:rsidR="00D5376E" w:rsidRDefault="00847021" w:rsidP="00847021">
      <w:pPr>
        <w:jc w:val="center"/>
      </w:pPr>
      <w:r>
        <w:t xml:space="preserve">* Please provide a complete </w:t>
      </w:r>
      <w:proofErr w:type="spellStart"/>
      <w:r>
        <w:t>luminaire</w:t>
      </w:r>
      <w:proofErr w:type="spellEnd"/>
      <w:r>
        <w:t xml:space="preserve"> schedule</w:t>
      </w:r>
    </w:p>
    <w:p w:rsidR="00D5376E" w:rsidRDefault="00D5376E" w:rsidP="00D5376E">
      <w:pPr>
        <w:pStyle w:val="Bluetext"/>
      </w:pPr>
      <w:r>
        <w:t>[</w:t>
      </w:r>
      <w:r w:rsidR="005F72B9">
        <w:t>Insert</w:t>
      </w:r>
      <w:r>
        <w:t xml:space="preserve"> hyperlinks to documents which support these claims]</w:t>
      </w:r>
    </w:p>
    <w:p w:rsidR="005B4F5F" w:rsidRDefault="005B4F5F" w:rsidP="001A607F">
      <w:pPr>
        <w:pStyle w:val="Bluetext"/>
        <w:rPr>
          <w:rStyle w:val="DocumentTextbody"/>
        </w:rPr>
      </w:pPr>
    </w:p>
    <w:p w:rsidR="005F72B9" w:rsidRDefault="005F72B9" w:rsidP="005F72B9">
      <w:pPr>
        <w:pStyle w:val="AdditionalpointNAclaimed"/>
      </w:pPr>
      <w:r w:rsidRPr="00BF07EC">
        <w:lastRenderedPageBreak/>
        <w:t>Therefore, as demonstrate</w:t>
      </w:r>
      <w:r>
        <w:t>d</w:t>
      </w:r>
      <w:r w:rsidRPr="00BF07EC">
        <w:t xml:space="preserve"> in section </w:t>
      </w:r>
      <w:r>
        <w:t xml:space="preserve">1, </w:t>
      </w:r>
      <w:r w:rsidRPr="00BF07EC">
        <w:t xml:space="preserve">this project is eligible to </w:t>
      </w:r>
      <w:r>
        <w:t xml:space="preserve">achieve </w:t>
      </w:r>
      <w:r w:rsidRPr="00163A48">
        <w:rPr>
          <w:color w:val="4CB2B3" w:themeColor="accent4"/>
        </w:rPr>
        <w:t>[1]</w:t>
      </w:r>
      <w:r>
        <w:t xml:space="preserve"> point for</w:t>
      </w:r>
      <w:r w:rsidR="00847021">
        <w:t xml:space="preserve"> providing high frequency ballasts.</w:t>
      </w:r>
      <w:r>
        <w:t xml:space="preserve"> </w:t>
      </w:r>
    </w:p>
    <w:p w:rsidR="00C17A83" w:rsidRDefault="00C17A83" w:rsidP="0038233F">
      <w:pPr>
        <w:pStyle w:val="Heading2"/>
      </w:pPr>
    </w:p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8A3A0F" w:rsidRDefault="0038233F" w:rsidP="00C55C2C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21" w:rsidRDefault="00847021" w:rsidP="00460249">
      <w:r>
        <w:separator/>
      </w:r>
    </w:p>
  </w:endnote>
  <w:endnote w:type="continuationSeparator" w:id="1">
    <w:p w:rsidR="00847021" w:rsidRDefault="00847021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21" w:rsidRPr="00B85A44" w:rsidRDefault="00847021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C17A83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21" w:rsidRDefault="00847021" w:rsidP="00460249">
      <w:r>
        <w:separator/>
      </w:r>
    </w:p>
  </w:footnote>
  <w:footnote w:type="continuationSeparator" w:id="1">
    <w:p w:rsidR="00847021" w:rsidRDefault="00847021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21" w:rsidRDefault="00847021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847021" w:rsidRPr="00B85A44" w:rsidRDefault="00847021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847021" w:rsidRPr="000650AC" w:rsidRDefault="00847021" w:rsidP="00B85A44">
    <w:pPr>
      <w:pStyle w:val="Header"/>
      <w:rPr>
        <w:rFonts w:cs="Arial"/>
        <w:color w:val="00B0F0"/>
        <w:szCs w:val="18"/>
      </w:rPr>
    </w:pPr>
  </w:p>
  <w:p w:rsidR="00847021" w:rsidRDefault="008470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77885B9D"/>
    <w:multiLevelType w:val="multilevel"/>
    <w:tmpl w:val="5AE4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2"/>
  </w:num>
  <w:num w:numId="15">
    <w:abstractNumId w:val="30"/>
  </w:num>
  <w:num w:numId="16">
    <w:abstractNumId w:val="16"/>
  </w:num>
  <w:num w:numId="17">
    <w:abstractNumId w:val="22"/>
  </w:num>
  <w:num w:numId="18">
    <w:abstractNumId w:val="23"/>
  </w:num>
  <w:num w:numId="1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7"/>
  </w:num>
  <w:num w:numId="23">
    <w:abstractNumId w:val="17"/>
  </w:num>
  <w:num w:numId="24">
    <w:abstractNumId w:val="25"/>
  </w:num>
  <w:num w:numId="25">
    <w:abstractNumId w:val="21"/>
  </w:num>
  <w:num w:numId="26">
    <w:abstractNumId w:val="10"/>
  </w:num>
  <w:num w:numId="27">
    <w:abstractNumId w:val="26"/>
  </w:num>
  <w:num w:numId="28">
    <w:abstractNumId w:val="28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4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5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37FA7"/>
    <w:rsid w:val="00050D72"/>
    <w:rsid w:val="000650AC"/>
    <w:rsid w:val="000A085B"/>
    <w:rsid w:val="000E1DB9"/>
    <w:rsid w:val="00107548"/>
    <w:rsid w:val="00163A48"/>
    <w:rsid w:val="0017224D"/>
    <w:rsid w:val="001A1E32"/>
    <w:rsid w:val="001A607F"/>
    <w:rsid w:val="001E5C85"/>
    <w:rsid w:val="00225AD0"/>
    <w:rsid w:val="00226FF3"/>
    <w:rsid w:val="00232F6C"/>
    <w:rsid w:val="00252745"/>
    <w:rsid w:val="00263C9C"/>
    <w:rsid w:val="00293B37"/>
    <w:rsid w:val="002D0C73"/>
    <w:rsid w:val="003350C3"/>
    <w:rsid w:val="00344185"/>
    <w:rsid w:val="003632A2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712C4"/>
    <w:rsid w:val="004A750A"/>
    <w:rsid w:val="004B3C71"/>
    <w:rsid w:val="004D6526"/>
    <w:rsid w:val="004D7CEE"/>
    <w:rsid w:val="0051588D"/>
    <w:rsid w:val="0052508D"/>
    <w:rsid w:val="005251C4"/>
    <w:rsid w:val="00533B8C"/>
    <w:rsid w:val="00551E11"/>
    <w:rsid w:val="00584F37"/>
    <w:rsid w:val="005A1DEA"/>
    <w:rsid w:val="005A5250"/>
    <w:rsid w:val="005B4F5F"/>
    <w:rsid w:val="005E0FE8"/>
    <w:rsid w:val="005F72B9"/>
    <w:rsid w:val="005F735B"/>
    <w:rsid w:val="006234CA"/>
    <w:rsid w:val="00656644"/>
    <w:rsid w:val="00692DDF"/>
    <w:rsid w:val="0069772B"/>
    <w:rsid w:val="006C0678"/>
    <w:rsid w:val="006C0BBD"/>
    <w:rsid w:val="00703682"/>
    <w:rsid w:val="007113D4"/>
    <w:rsid w:val="0079553F"/>
    <w:rsid w:val="007D1B2F"/>
    <w:rsid w:val="007E0C5A"/>
    <w:rsid w:val="007E353E"/>
    <w:rsid w:val="008410D5"/>
    <w:rsid w:val="00847021"/>
    <w:rsid w:val="008543E7"/>
    <w:rsid w:val="0086285C"/>
    <w:rsid w:val="00863344"/>
    <w:rsid w:val="00873478"/>
    <w:rsid w:val="008A3A0F"/>
    <w:rsid w:val="008B5C79"/>
    <w:rsid w:val="008D2097"/>
    <w:rsid w:val="00916944"/>
    <w:rsid w:val="00954CBF"/>
    <w:rsid w:val="009674E2"/>
    <w:rsid w:val="0099155A"/>
    <w:rsid w:val="009E2618"/>
    <w:rsid w:val="009F7152"/>
    <w:rsid w:val="00A03694"/>
    <w:rsid w:val="00A04A3B"/>
    <w:rsid w:val="00A14092"/>
    <w:rsid w:val="00A15F2F"/>
    <w:rsid w:val="00A302F2"/>
    <w:rsid w:val="00AB1711"/>
    <w:rsid w:val="00AB7F1D"/>
    <w:rsid w:val="00AC0F80"/>
    <w:rsid w:val="00AD0EBA"/>
    <w:rsid w:val="00AD6ECD"/>
    <w:rsid w:val="00B072DF"/>
    <w:rsid w:val="00B22F29"/>
    <w:rsid w:val="00B26A4D"/>
    <w:rsid w:val="00B501C0"/>
    <w:rsid w:val="00B54E07"/>
    <w:rsid w:val="00B85A44"/>
    <w:rsid w:val="00B8616C"/>
    <w:rsid w:val="00B913FE"/>
    <w:rsid w:val="00BD1433"/>
    <w:rsid w:val="00BE2DB1"/>
    <w:rsid w:val="00BE3D35"/>
    <w:rsid w:val="00BF2DB4"/>
    <w:rsid w:val="00C101DD"/>
    <w:rsid w:val="00C12C3E"/>
    <w:rsid w:val="00C1485E"/>
    <w:rsid w:val="00C17A83"/>
    <w:rsid w:val="00C30403"/>
    <w:rsid w:val="00C30E65"/>
    <w:rsid w:val="00C54859"/>
    <w:rsid w:val="00C55C2C"/>
    <w:rsid w:val="00C7066D"/>
    <w:rsid w:val="00C9012C"/>
    <w:rsid w:val="00CA3223"/>
    <w:rsid w:val="00CD1831"/>
    <w:rsid w:val="00CF0105"/>
    <w:rsid w:val="00D42976"/>
    <w:rsid w:val="00D5376E"/>
    <w:rsid w:val="00D83067"/>
    <w:rsid w:val="00E05A87"/>
    <w:rsid w:val="00E407C8"/>
    <w:rsid w:val="00E42DD8"/>
    <w:rsid w:val="00E47464"/>
    <w:rsid w:val="00E82662"/>
    <w:rsid w:val="00F05524"/>
    <w:rsid w:val="00F20E14"/>
    <w:rsid w:val="00F30E6A"/>
    <w:rsid w:val="00F46F44"/>
    <w:rsid w:val="00F65DC2"/>
    <w:rsid w:val="00F96995"/>
    <w:rsid w:val="00FB73A1"/>
    <w:rsid w:val="00FD1248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847021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BE3D35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E3D3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E3D3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E3D35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3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4702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7021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BE3D35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E3D35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E3D35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BE3D35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E3D35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E3D35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E3D35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E3D35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D35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D35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BE3D35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E3D35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E3D35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E3D35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E3D35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E3D35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E3D35"/>
  </w:style>
  <w:style w:type="paragraph" w:customStyle="1" w:styleId="BodyofTextBulletpoint3rdlevel">
    <w:name w:val="Body of Text – Bullet point (3rd level)"/>
    <w:basedOn w:val="BodyoftextBulletPoint"/>
    <w:qFormat/>
    <w:rsid w:val="00BE3D35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E3D35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E3D35"/>
  </w:style>
  <w:style w:type="character" w:customStyle="1" w:styleId="Documenttextunderlined">
    <w:name w:val="Document text underlined"/>
    <w:basedOn w:val="DefaultParagraphFont"/>
    <w:uiPriority w:val="1"/>
    <w:qFormat/>
    <w:rsid w:val="00BE3D35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E3D35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E3D35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E3D35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E3D35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E3D35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E3D35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E3D35"/>
    <w:rPr>
      <w:b/>
    </w:rPr>
  </w:style>
  <w:style w:type="character" w:customStyle="1" w:styleId="Dateissued">
    <w:name w:val="Date issued"/>
    <w:basedOn w:val="DefaultParagraphFont"/>
    <w:uiPriority w:val="1"/>
    <w:qFormat/>
    <w:rsid w:val="00BE3D35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BE3D35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5A1DEA"/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E3D35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E3D35"/>
  </w:style>
  <w:style w:type="paragraph" w:customStyle="1" w:styleId="HeadingSimilarStyle">
    <w:name w:val="Heading Similar Style"/>
    <w:basedOn w:val="Normal"/>
    <w:link w:val="HeadingSimilarStyleChar"/>
    <w:qFormat/>
    <w:rsid w:val="00BE3D35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E3D35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C4217"/>
    <w:rsid w:val="00356146"/>
    <w:rsid w:val="0044227F"/>
    <w:rsid w:val="00485CAF"/>
    <w:rsid w:val="005019FB"/>
    <w:rsid w:val="00541CE2"/>
    <w:rsid w:val="00625C95"/>
    <w:rsid w:val="00677127"/>
    <w:rsid w:val="0069021A"/>
    <w:rsid w:val="006A32CB"/>
    <w:rsid w:val="00700575"/>
    <w:rsid w:val="00857F37"/>
    <w:rsid w:val="009563E0"/>
    <w:rsid w:val="00A51FB4"/>
    <w:rsid w:val="00AE5148"/>
    <w:rsid w:val="00BA4F22"/>
    <w:rsid w:val="00C74ADD"/>
    <w:rsid w:val="00CB39B0"/>
    <w:rsid w:val="00CD6C36"/>
    <w:rsid w:val="00DE0D1A"/>
    <w:rsid w:val="00E14E38"/>
    <w:rsid w:val="00ED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6EC7A-9761-4861-8B02-2E5FAC21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2013-11-04T04:44:00Z</dcterms:created>
  <dcterms:modified xsi:type="dcterms:W3CDTF">2013-11-04T04:44:00Z</dcterms:modified>
</cp:coreProperties>
</file>