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5" w:rsidRPr="0035552E" w:rsidRDefault="00742254" w:rsidP="00F713F5">
      <w:pPr>
        <w:pStyle w:val="Heading1"/>
      </w:pPr>
      <w:bookmarkStart w:id="0" w:name="_Toc94610314"/>
      <w:bookmarkStart w:id="1" w:name="_Toc98301847"/>
      <w:r w:rsidRPr="0084420B">
        <w:rPr>
          <w:rStyle w:val="Heading2Char"/>
        </w:rPr>
        <w:pict>
          <v:roundrect id="_x0000_s1030" style="position:absolute;margin-left:243.05pt;margin-top:4.2pt;width:296.15pt;height:49.9pt;z-index:251658240;mso-position-horizontal-relative:margin;mso-width-relative:margin;mso-height-relative:margin" arcsize="10923f" fillcolor="#2c3034 [3213]" strokecolor="#3f454f [3206]">
            <v:textbox style="mso-next-textbox:#_x0000_s1030">
              <w:txbxContent>
                <w:p w:rsidR="000C1579" w:rsidRPr="00FD57F2" w:rsidRDefault="000C1579" w:rsidP="00F713F5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F713F5" w:rsidRPr="0084420B">
        <w:rPr>
          <w:rStyle w:val="Heading2Char"/>
        </w:rPr>
        <w:t xml:space="preserve">Green Star </w:t>
      </w:r>
      <w:r w:rsidR="00F713F5" w:rsidRPr="0084420B">
        <w:rPr>
          <w:rStyle w:val="Heading2Char"/>
        </w:rPr>
        <w:br/>
        <w:t>Short Report</w:t>
      </w:r>
      <w:r w:rsidR="00F713F5" w:rsidRPr="0084420B">
        <w:rPr>
          <w:rStyle w:val="Heading2Char"/>
        </w:rPr>
        <w:br/>
        <w:t>Round</w:t>
      </w:r>
      <w:r w:rsidR="00F713F5" w:rsidRPr="0035552E">
        <w:t xml:space="preserve"> </w:t>
      </w:r>
      <w:r w:rsidR="00F713F5" w:rsidRPr="00F713F5">
        <w:rPr>
          <w:color w:val="4CB2B3" w:themeColor="accent4"/>
        </w:rPr>
        <w:t>[1/2]</w:t>
      </w:r>
    </w:p>
    <w:p w:rsidR="00F713F5" w:rsidRPr="00F713F5" w:rsidRDefault="00F713F5" w:rsidP="00F713F5">
      <w:pPr>
        <w:pStyle w:val="BodyText2"/>
      </w:pPr>
      <w:r w:rsidRPr="00F713F5">
        <w:t xml:space="preserve">Green Star – Office Design v3 </w:t>
      </w:r>
    </w:p>
    <w:p w:rsidR="00F713F5" w:rsidRPr="00F713F5" w:rsidRDefault="00F713F5" w:rsidP="00F713F5">
      <w:pPr>
        <w:pStyle w:val="BodyText2"/>
      </w:pPr>
      <w:r w:rsidRPr="00F713F5">
        <w:t xml:space="preserve">Credit: </w:t>
      </w:r>
      <w:r w:rsidR="00523050">
        <w:t>IEQ-13 Volatile Organic Compounds</w:t>
      </w:r>
      <w:r w:rsidRPr="00F713F5">
        <w:t xml:space="preserve"> 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Name:</w:t>
      </w:r>
      <w:r w:rsidRPr="00F403F0">
        <w:rPr>
          <w:b w:val="0"/>
        </w:rPr>
        <w:t xml:space="preserve"> </w:t>
      </w:r>
      <w:r w:rsidRPr="00F713F5">
        <w:rPr>
          <w:b w:val="0"/>
          <w:color w:val="4CB2B3" w:themeColor="accent4"/>
        </w:rPr>
        <w:t>[name]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Number: GS</w:t>
      </w:r>
      <w:r w:rsidRPr="00F403F0">
        <w:rPr>
          <w:b w:val="0"/>
        </w:rPr>
        <w:t>-</w:t>
      </w:r>
      <w:r w:rsidRPr="00F713F5">
        <w:rPr>
          <w:b w:val="0"/>
          <w:color w:val="4CB2B3" w:themeColor="accent4"/>
        </w:rPr>
        <w:t>[####]</w:t>
      </w:r>
    </w:p>
    <w:p w:rsidR="00F713F5" w:rsidRPr="004F5B31" w:rsidRDefault="00F713F5" w:rsidP="00F713F5">
      <w:pPr>
        <w:pStyle w:val="BodyText2"/>
      </w:pPr>
      <w:r w:rsidRPr="00F403F0">
        <w:rPr>
          <w:rStyle w:val="Heading3Char"/>
          <w:rFonts w:eastAsia="Calibri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523050">
        <w:rPr>
          <w:rFonts w:eastAsia="Calibri"/>
        </w:rPr>
        <w:t>3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Style w:val="Heading3Char"/>
          <w:rFonts w:eastAsia="Calibri"/>
        </w:rPr>
        <w:t xml:space="preserve">Points claimed: </w:t>
      </w:r>
      <w:r w:rsidRPr="00F713F5">
        <w:rPr>
          <w:rStyle w:val="Heading3Char"/>
          <w:rFonts w:eastAsia="Calibri"/>
          <w:color w:val="4CB2B3" w:themeColor="accent4"/>
        </w:rPr>
        <w:t xml:space="preserve">[1, </w:t>
      </w:r>
      <w:r w:rsidR="00523050">
        <w:rPr>
          <w:rStyle w:val="Heading3Char"/>
          <w:rFonts w:eastAsia="Calibri"/>
          <w:color w:val="4CB2B3" w:themeColor="accent4"/>
        </w:rPr>
        <w:t>2, or 3</w:t>
      </w:r>
      <w:r w:rsidR="0084420B">
        <w:rPr>
          <w:rStyle w:val="Heading3Char"/>
          <w:rFonts w:eastAsia="Calibri"/>
          <w:color w:val="4CB2B3" w:themeColor="accent4"/>
        </w:rPr>
        <w:t>]</w:t>
      </w:r>
    </w:p>
    <w:bookmarkEnd w:id="0"/>
    <w:bookmarkEnd w:id="1"/>
    <w:p w:rsidR="00EE14B3" w:rsidRDefault="00EE14B3" w:rsidP="00EE14B3">
      <w:pPr>
        <w:pStyle w:val="Numberedheading"/>
        <w:numPr>
          <w:ilvl w:val="0"/>
          <w:numId w:val="18"/>
        </w:numPr>
      </w:pPr>
      <w:r>
        <w:t xml:space="preserve">Credit Compliance </w:t>
      </w:r>
    </w:p>
    <w:p w:rsidR="00523050" w:rsidRPr="00523050" w:rsidRDefault="00EE14B3" w:rsidP="00523050">
      <w:pPr>
        <w:jc w:val="both"/>
        <w:rPr>
          <w:b/>
          <w:color w:val="8DC63F" w:themeColor="text2"/>
        </w:rPr>
      </w:pPr>
      <w:r>
        <w:t>The following chapters of this template are relevant f</w:t>
      </w:r>
      <w:r w:rsidRPr="00890809">
        <w:t>or projects targeting points for this credit:</w:t>
      </w:r>
      <w:r>
        <w:br/>
      </w:r>
    </w:p>
    <w:p w:rsidR="00523050" w:rsidRPr="00523050" w:rsidRDefault="00523050" w:rsidP="00523050">
      <w:pPr>
        <w:jc w:val="both"/>
        <w:rPr>
          <w:b/>
          <w:color w:val="8DC63F" w:themeColor="text2"/>
        </w:rPr>
      </w:pPr>
      <w:r w:rsidRPr="00523050">
        <w:rPr>
          <w:b/>
          <w:color w:val="8DC63F" w:themeColor="text2"/>
        </w:rPr>
        <w:t>1.1</w:t>
      </w:r>
      <w:r w:rsidRPr="00523050">
        <w:rPr>
          <w:b/>
          <w:color w:val="8DC63F" w:themeColor="text2"/>
        </w:rPr>
        <w:tab/>
        <w:t>Paints</w:t>
      </w:r>
    </w:p>
    <w:p w:rsidR="00523050" w:rsidRPr="00523050" w:rsidRDefault="00523050" w:rsidP="00523050">
      <w:pPr>
        <w:jc w:val="both"/>
        <w:rPr>
          <w:color w:val="4CB2B3" w:themeColor="accent4"/>
        </w:rPr>
      </w:pPr>
      <w:r w:rsidRPr="00523050">
        <w:rPr>
          <w:color w:val="4CB2B3" w:themeColor="accent4"/>
        </w:rPr>
        <w:t>[Demonstrate compliance against one of the options]</w:t>
      </w:r>
    </w:p>
    <w:p w:rsidR="00523050" w:rsidRDefault="00523050" w:rsidP="00523050">
      <w:pPr>
        <w:pStyle w:val="ListParagraph"/>
        <w:numPr>
          <w:ilvl w:val="0"/>
          <w:numId w:val="24"/>
        </w:numPr>
        <w:spacing w:before="120" w:after="0" w:line="240" w:lineRule="auto"/>
        <w:ind w:left="426" w:hanging="426"/>
        <w:jc w:val="both"/>
      </w:pPr>
      <w:r>
        <w:t xml:space="preserve">The project has not specified any paint to be applied internally </w:t>
      </w:r>
    </w:p>
    <w:p w:rsidR="00523050" w:rsidRDefault="00523050" w:rsidP="00523050">
      <w:pPr>
        <w:jc w:val="both"/>
      </w:pPr>
    </w:p>
    <w:p w:rsidR="00523050" w:rsidRDefault="00523050" w:rsidP="00523050">
      <w:pPr>
        <w:pStyle w:val="ListParagraph"/>
        <w:numPr>
          <w:ilvl w:val="0"/>
          <w:numId w:val="24"/>
        </w:numPr>
        <w:spacing w:before="120" w:after="0" w:line="240" w:lineRule="auto"/>
        <w:ind w:left="426" w:hanging="426"/>
        <w:jc w:val="both"/>
        <w:rPr>
          <w:rFonts w:cs="Arial"/>
        </w:rPr>
      </w:pPr>
      <w:r>
        <w:t xml:space="preserve">The project has specified paint to be applied internally </w:t>
      </w:r>
    </w:p>
    <w:p w:rsidR="00523050" w:rsidRPr="000F360B" w:rsidRDefault="00523050" w:rsidP="00523050">
      <w:pPr>
        <w:jc w:val="both"/>
      </w:pPr>
    </w:p>
    <w:p w:rsidR="00523050" w:rsidRDefault="00523050" w:rsidP="00523050">
      <w:pPr>
        <w:spacing w:before="240"/>
        <w:jc w:val="both"/>
      </w:pPr>
      <w:r>
        <w:t>The project design has specified that at least 95% of paint applied internally, meet the TVOC Emissions Limits stipulated in IEQ Table 13.</w:t>
      </w:r>
      <w:r w:rsidRPr="003657D3">
        <w:t>1 (page 121 of the Technical Manual)</w:t>
      </w:r>
      <w:r>
        <w:t>.</w:t>
      </w:r>
    </w:p>
    <w:p w:rsidR="00523050" w:rsidRDefault="00523050" w:rsidP="00523050">
      <w:pPr>
        <w:jc w:val="both"/>
      </w:pPr>
    </w:p>
    <w:p w:rsidR="00523050" w:rsidRDefault="00523050" w:rsidP="00523050">
      <w:pPr>
        <w:jc w:val="both"/>
      </w:pPr>
      <w:r>
        <w:t>Details of paints specified in the project are included below:</w:t>
      </w:r>
    </w:p>
    <w:tbl>
      <w:tblPr>
        <w:tblStyle w:val="TableGrid"/>
        <w:tblW w:w="0" w:type="auto"/>
        <w:tblLook w:val="04A0"/>
      </w:tblPr>
      <w:tblGrid>
        <w:gridCol w:w="2552"/>
        <w:gridCol w:w="2126"/>
        <w:gridCol w:w="2268"/>
        <w:gridCol w:w="2693"/>
      </w:tblGrid>
      <w:tr w:rsidR="00523050" w:rsidTr="00523050">
        <w:trPr>
          <w:cnfStyle w:val="100000000000"/>
        </w:trPr>
        <w:tc>
          <w:tcPr>
            <w:cnfStyle w:val="001000000000"/>
            <w:tcW w:w="2552" w:type="dxa"/>
          </w:tcPr>
          <w:p w:rsidR="00523050" w:rsidRPr="00523050" w:rsidRDefault="00523050" w:rsidP="00340389">
            <w:pPr>
              <w:jc w:val="both"/>
              <w:rPr>
                <w:sz w:val="22"/>
              </w:rPr>
            </w:pPr>
            <w:r w:rsidRPr="00523050">
              <w:rPr>
                <w:sz w:val="22"/>
              </w:rPr>
              <w:t xml:space="preserve">Paint specified </w:t>
            </w:r>
          </w:p>
        </w:tc>
        <w:tc>
          <w:tcPr>
            <w:tcW w:w="2126" w:type="dxa"/>
          </w:tcPr>
          <w:p w:rsidR="00523050" w:rsidRPr="00523050" w:rsidRDefault="00523050" w:rsidP="00340389">
            <w:pPr>
              <w:jc w:val="both"/>
              <w:cnfStyle w:val="100000000000"/>
              <w:rPr>
                <w:sz w:val="22"/>
              </w:rPr>
            </w:pPr>
            <w:r w:rsidRPr="00523050">
              <w:rPr>
                <w:sz w:val="22"/>
              </w:rPr>
              <w:t>TVOC</w:t>
            </w:r>
          </w:p>
        </w:tc>
        <w:tc>
          <w:tcPr>
            <w:tcW w:w="2268" w:type="dxa"/>
          </w:tcPr>
          <w:p w:rsidR="00523050" w:rsidRPr="00523050" w:rsidRDefault="00523050" w:rsidP="00340389">
            <w:pPr>
              <w:jc w:val="both"/>
              <w:cnfStyle w:val="100000000000"/>
              <w:rPr>
                <w:sz w:val="22"/>
              </w:rPr>
            </w:pPr>
            <w:r w:rsidRPr="00523050">
              <w:rPr>
                <w:sz w:val="22"/>
              </w:rPr>
              <w:t>TVOC limit</w:t>
            </w:r>
          </w:p>
        </w:tc>
        <w:tc>
          <w:tcPr>
            <w:tcW w:w="2693" w:type="dxa"/>
          </w:tcPr>
          <w:p w:rsidR="00523050" w:rsidRPr="00523050" w:rsidRDefault="00523050" w:rsidP="00340389">
            <w:pPr>
              <w:jc w:val="both"/>
              <w:cnfStyle w:val="100000000000"/>
              <w:rPr>
                <w:sz w:val="22"/>
              </w:rPr>
            </w:pPr>
            <w:r w:rsidRPr="00523050">
              <w:rPr>
                <w:sz w:val="22"/>
              </w:rPr>
              <w:t>Compliant? [Y/N]</w:t>
            </w:r>
          </w:p>
        </w:tc>
      </w:tr>
      <w:tr w:rsidR="00523050" w:rsidTr="00523050">
        <w:trPr>
          <w:cnfStyle w:val="000000100000"/>
        </w:trPr>
        <w:tc>
          <w:tcPr>
            <w:cnfStyle w:val="001000000000"/>
            <w:tcW w:w="2552" w:type="dxa"/>
          </w:tcPr>
          <w:p w:rsidR="00523050" w:rsidRPr="00523050" w:rsidRDefault="00523050" w:rsidP="00340389">
            <w:pPr>
              <w:jc w:val="both"/>
              <w:rPr>
                <w:color w:val="4CB2B3" w:themeColor="accent4"/>
                <w:sz w:val="20"/>
              </w:rPr>
            </w:pPr>
          </w:p>
        </w:tc>
        <w:tc>
          <w:tcPr>
            <w:tcW w:w="2126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268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693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523050" w:rsidTr="00523050">
        <w:tc>
          <w:tcPr>
            <w:cnfStyle w:val="001000000000"/>
            <w:tcW w:w="2552" w:type="dxa"/>
          </w:tcPr>
          <w:p w:rsidR="00523050" w:rsidRPr="00523050" w:rsidRDefault="00523050" w:rsidP="00340389">
            <w:pPr>
              <w:jc w:val="both"/>
              <w:rPr>
                <w:color w:val="4CB2B3" w:themeColor="accent4"/>
                <w:sz w:val="20"/>
              </w:rPr>
            </w:pPr>
          </w:p>
        </w:tc>
        <w:tc>
          <w:tcPr>
            <w:tcW w:w="2126" w:type="dxa"/>
          </w:tcPr>
          <w:p w:rsidR="00523050" w:rsidRPr="00523050" w:rsidRDefault="00523050" w:rsidP="00340389">
            <w:pPr>
              <w:jc w:val="both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268" w:type="dxa"/>
          </w:tcPr>
          <w:p w:rsidR="00523050" w:rsidRPr="00523050" w:rsidRDefault="00523050" w:rsidP="00340389">
            <w:pPr>
              <w:jc w:val="both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693" w:type="dxa"/>
          </w:tcPr>
          <w:p w:rsidR="00523050" w:rsidRPr="00523050" w:rsidRDefault="00523050" w:rsidP="00340389">
            <w:pPr>
              <w:jc w:val="both"/>
              <w:cnfStyle w:val="000000000000"/>
              <w:rPr>
                <w:color w:val="4CB2B3" w:themeColor="accent4"/>
                <w:sz w:val="20"/>
              </w:rPr>
            </w:pPr>
          </w:p>
        </w:tc>
      </w:tr>
      <w:tr w:rsidR="00523050" w:rsidTr="00523050">
        <w:trPr>
          <w:cnfStyle w:val="000000100000"/>
        </w:trPr>
        <w:tc>
          <w:tcPr>
            <w:cnfStyle w:val="001000000000"/>
            <w:tcW w:w="2552" w:type="dxa"/>
          </w:tcPr>
          <w:p w:rsidR="00523050" w:rsidRPr="00523050" w:rsidRDefault="00523050" w:rsidP="00340389">
            <w:pPr>
              <w:jc w:val="both"/>
              <w:rPr>
                <w:color w:val="4CB2B3" w:themeColor="accent4"/>
                <w:sz w:val="20"/>
              </w:rPr>
            </w:pPr>
          </w:p>
        </w:tc>
        <w:tc>
          <w:tcPr>
            <w:tcW w:w="2126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268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693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</w:tr>
    </w:tbl>
    <w:p w:rsidR="00523050" w:rsidRDefault="00523050" w:rsidP="00523050">
      <w:pPr>
        <w:jc w:val="both"/>
        <w:rPr>
          <w:color w:val="3F454F" w:themeColor="accent3"/>
        </w:rPr>
      </w:pPr>
    </w:p>
    <w:p w:rsidR="00523050" w:rsidRPr="00523050" w:rsidRDefault="00523050" w:rsidP="00523050">
      <w:pPr>
        <w:jc w:val="both"/>
        <w:rPr>
          <w:color w:val="4CB2B3" w:themeColor="accent4"/>
        </w:rPr>
      </w:pPr>
      <w:r w:rsidRPr="00523050">
        <w:rPr>
          <w:color w:val="4CB2B3" w:themeColor="accent4"/>
        </w:rPr>
        <w:t>[Insert hyperlinks to documents which support these claims]</w:t>
      </w:r>
    </w:p>
    <w:p w:rsidR="00523050" w:rsidRPr="00730DBF" w:rsidRDefault="00523050" w:rsidP="00523050">
      <w:pPr>
        <w:jc w:val="both"/>
      </w:pPr>
    </w:p>
    <w:p w:rsidR="00523050" w:rsidRDefault="00523050" w:rsidP="00523050">
      <w:pPr>
        <w:pBdr>
          <w:top w:val="single" w:sz="4" w:space="1" w:color="auto"/>
          <w:bottom w:val="single" w:sz="4" w:space="10" w:color="auto"/>
        </w:pBdr>
        <w:shd w:val="clear" w:color="auto" w:fill="2C3034" w:themeFill="text1"/>
      </w:pPr>
      <w:r w:rsidRPr="00BF07EC">
        <w:lastRenderedPageBreak/>
        <w:t>Therefore, as demonstrate</w:t>
      </w:r>
      <w:r>
        <w:t xml:space="preserve">d in section 1.1 </w:t>
      </w:r>
      <w:r w:rsidRPr="00BF07EC">
        <w:t xml:space="preserve">this project is eligible to achieve </w:t>
      </w:r>
      <w:r w:rsidRPr="00826C27">
        <w:t>1</w:t>
      </w:r>
      <w:r w:rsidRPr="00BF07EC">
        <w:rPr>
          <w:color w:val="3F454F" w:themeColor="accent3"/>
        </w:rPr>
        <w:t xml:space="preserve"> </w:t>
      </w:r>
      <w:r w:rsidRPr="00BF07EC">
        <w:t>point</w:t>
      </w:r>
      <w:r>
        <w:t xml:space="preserve"> for VOC compliant paints. </w:t>
      </w:r>
    </w:p>
    <w:p w:rsidR="00523050" w:rsidRDefault="00523050" w:rsidP="00523050">
      <w:pPr>
        <w:jc w:val="both"/>
      </w:pPr>
    </w:p>
    <w:p w:rsidR="00523050" w:rsidRPr="00523050" w:rsidRDefault="00523050" w:rsidP="00523050">
      <w:pPr>
        <w:rPr>
          <w:b/>
          <w:color w:val="8DC63F" w:themeColor="text2"/>
        </w:rPr>
      </w:pPr>
      <w:r w:rsidRPr="00523050">
        <w:rPr>
          <w:b/>
          <w:color w:val="8DC63F" w:themeColor="text2"/>
        </w:rPr>
        <w:t>1.2</w:t>
      </w:r>
      <w:r w:rsidRPr="00523050">
        <w:rPr>
          <w:b/>
          <w:color w:val="8DC63F" w:themeColor="text2"/>
        </w:rPr>
        <w:tab/>
        <w:t>Adhesives and Sealants</w:t>
      </w:r>
    </w:p>
    <w:p w:rsidR="00523050" w:rsidRPr="00523050" w:rsidRDefault="00523050" w:rsidP="00523050">
      <w:pPr>
        <w:jc w:val="both"/>
        <w:rPr>
          <w:color w:val="4CB2B3" w:themeColor="accent4"/>
        </w:rPr>
      </w:pPr>
      <w:r w:rsidRPr="00523050">
        <w:rPr>
          <w:color w:val="4CB2B3" w:themeColor="accent4"/>
        </w:rPr>
        <w:t>[Demonstrate compliance against one of the options]</w:t>
      </w:r>
    </w:p>
    <w:p w:rsidR="00523050" w:rsidRDefault="00523050" w:rsidP="00523050">
      <w:pPr>
        <w:pStyle w:val="ListParagraph"/>
        <w:numPr>
          <w:ilvl w:val="0"/>
          <w:numId w:val="27"/>
        </w:numPr>
        <w:spacing w:before="120" w:after="0" w:line="240" w:lineRule="auto"/>
        <w:ind w:left="284" w:hanging="284"/>
        <w:jc w:val="both"/>
      </w:pPr>
      <w:r>
        <w:t xml:space="preserve">The project has not specified adhesives or sealants to be used internally </w:t>
      </w:r>
    </w:p>
    <w:p w:rsidR="00523050" w:rsidRDefault="00523050" w:rsidP="00523050">
      <w:pPr>
        <w:pStyle w:val="ListParagraph"/>
        <w:numPr>
          <w:ilvl w:val="0"/>
          <w:numId w:val="0"/>
        </w:numPr>
        <w:spacing w:before="120" w:after="0" w:line="240" w:lineRule="auto"/>
        <w:ind w:left="284" w:hanging="284"/>
        <w:jc w:val="both"/>
      </w:pPr>
    </w:p>
    <w:p w:rsidR="00523050" w:rsidRPr="00523050" w:rsidRDefault="00523050" w:rsidP="00523050">
      <w:pPr>
        <w:pStyle w:val="ListParagraph"/>
        <w:numPr>
          <w:ilvl w:val="0"/>
          <w:numId w:val="27"/>
        </w:numPr>
        <w:spacing w:before="120" w:after="0" w:line="240" w:lineRule="auto"/>
        <w:ind w:left="284" w:hanging="284"/>
        <w:jc w:val="both"/>
      </w:pPr>
      <w:r>
        <w:t xml:space="preserve">The project has specified adhesives and sealants to be used internally </w:t>
      </w:r>
    </w:p>
    <w:p w:rsidR="00523050" w:rsidRPr="000F360B" w:rsidRDefault="00523050" w:rsidP="00523050">
      <w:pPr>
        <w:jc w:val="both"/>
      </w:pPr>
    </w:p>
    <w:p w:rsidR="00523050" w:rsidRDefault="00523050" w:rsidP="00523050">
      <w:pPr>
        <w:jc w:val="both"/>
      </w:pPr>
      <w:r>
        <w:t>The project has specified that at least 95% of all adhesives and sealants applied internally meet the TVOC Emissions Limits stipulated in IEQ Table 13.2 (page 122 of the Technical Manual).</w:t>
      </w:r>
    </w:p>
    <w:p w:rsidR="00523050" w:rsidRDefault="00523050" w:rsidP="00523050">
      <w:pPr>
        <w:jc w:val="both"/>
      </w:pPr>
    </w:p>
    <w:p w:rsidR="00523050" w:rsidRDefault="00523050" w:rsidP="00523050">
      <w:pPr>
        <w:jc w:val="both"/>
      </w:pPr>
      <w:r>
        <w:t>Details of adhesives and sealants specified in the project are included below:</w:t>
      </w:r>
    </w:p>
    <w:tbl>
      <w:tblPr>
        <w:tblStyle w:val="TableGrid"/>
        <w:tblW w:w="0" w:type="auto"/>
        <w:tblLook w:val="04A0"/>
      </w:tblPr>
      <w:tblGrid>
        <w:gridCol w:w="2732"/>
        <w:gridCol w:w="2043"/>
        <w:gridCol w:w="1769"/>
        <w:gridCol w:w="2482"/>
      </w:tblGrid>
      <w:tr w:rsidR="00523050" w:rsidRPr="00523050" w:rsidTr="00340389">
        <w:trPr>
          <w:cnfStyle w:val="100000000000"/>
        </w:trPr>
        <w:tc>
          <w:tcPr>
            <w:cnfStyle w:val="001000000000"/>
            <w:tcW w:w="2732" w:type="dxa"/>
          </w:tcPr>
          <w:p w:rsidR="00523050" w:rsidRPr="00523050" w:rsidRDefault="00523050" w:rsidP="00340389">
            <w:pPr>
              <w:rPr>
                <w:sz w:val="22"/>
              </w:rPr>
            </w:pPr>
            <w:r w:rsidRPr="00523050">
              <w:rPr>
                <w:sz w:val="22"/>
              </w:rPr>
              <w:t>Adhesive or sealant Specified</w:t>
            </w:r>
          </w:p>
        </w:tc>
        <w:tc>
          <w:tcPr>
            <w:tcW w:w="2043" w:type="dxa"/>
          </w:tcPr>
          <w:p w:rsidR="00523050" w:rsidRPr="00523050" w:rsidRDefault="00523050" w:rsidP="00340389">
            <w:pPr>
              <w:jc w:val="both"/>
              <w:cnfStyle w:val="100000000000"/>
              <w:rPr>
                <w:sz w:val="22"/>
              </w:rPr>
            </w:pPr>
            <w:r w:rsidRPr="00523050">
              <w:rPr>
                <w:sz w:val="22"/>
              </w:rPr>
              <w:t>TVOC</w:t>
            </w:r>
          </w:p>
        </w:tc>
        <w:tc>
          <w:tcPr>
            <w:tcW w:w="1769" w:type="dxa"/>
          </w:tcPr>
          <w:p w:rsidR="00523050" w:rsidRPr="00523050" w:rsidRDefault="00523050" w:rsidP="00340389">
            <w:pPr>
              <w:jc w:val="both"/>
              <w:cnfStyle w:val="100000000000"/>
              <w:rPr>
                <w:sz w:val="22"/>
              </w:rPr>
            </w:pPr>
            <w:r w:rsidRPr="00523050">
              <w:rPr>
                <w:sz w:val="22"/>
              </w:rPr>
              <w:t>TVOC limit</w:t>
            </w:r>
          </w:p>
        </w:tc>
        <w:tc>
          <w:tcPr>
            <w:tcW w:w="2482" w:type="dxa"/>
          </w:tcPr>
          <w:p w:rsidR="00523050" w:rsidRPr="00523050" w:rsidRDefault="00523050" w:rsidP="00340389">
            <w:pPr>
              <w:jc w:val="both"/>
              <w:cnfStyle w:val="100000000000"/>
              <w:rPr>
                <w:sz w:val="22"/>
              </w:rPr>
            </w:pPr>
            <w:r w:rsidRPr="00523050">
              <w:rPr>
                <w:sz w:val="22"/>
              </w:rPr>
              <w:t>Compliant? [Y/N]</w:t>
            </w:r>
          </w:p>
        </w:tc>
      </w:tr>
      <w:tr w:rsidR="00523050" w:rsidTr="00340389">
        <w:trPr>
          <w:cnfStyle w:val="000000100000"/>
        </w:trPr>
        <w:tc>
          <w:tcPr>
            <w:cnfStyle w:val="001000000000"/>
            <w:tcW w:w="2732" w:type="dxa"/>
          </w:tcPr>
          <w:p w:rsidR="00523050" w:rsidRPr="00523050" w:rsidRDefault="00523050" w:rsidP="00340389">
            <w:pPr>
              <w:jc w:val="both"/>
              <w:rPr>
                <w:color w:val="4CB2B3" w:themeColor="accent4"/>
                <w:sz w:val="20"/>
              </w:rPr>
            </w:pPr>
          </w:p>
        </w:tc>
        <w:tc>
          <w:tcPr>
            <w:tcW w:w="2043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769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482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523050" w:rsidTr="00340389">
        <w:tc>
          <w:tcPr>
            <w:cnfStyle w:val="001000000000"/>
            <w:tcW w:w="2732" w:type="dxa"/>
          </w:tcPr>
          <w:p w:rsidR="00523050" w:rsidRPr="00523050" w:rsidRDefault="00523050" w:rsidP="00340389">
            <w:pPr>
              <w:jc w:val="both"/>
              <w:rPr>
                <w:color w:val="4CB2B3" w:themeColor="accent4"/>
                <w:sz w:val="20"/>
              </w:rPr>
            </w:pPr>
          </w:p>
        </w:tc>
        <w:tc>
          <w:tcPr>
            <w:tcW w:w="2043" w:type="dxa"/>
          </w:tcPr>
          <w:p w:rsidR="00523050" w:rsidRPr="00523050" w:rsidRDefault="00523050" w:rsidP="00340389">
            <w:pPr>
              <w:jc w:val="both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769" w:type="dxa"/>
          </w:tcPr>
          <w:p w:rsidR="00523050" w:rsidRPr="00523050" w:rsidRDefault="00523050" w:rsidP="00340389">
            <w:pPr>
              <w:jc w:val="both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482" w:type="dxa"/>
          </w:tcPr>
          <w:p w:rsidR="00523050" w:rsidRPr="00523050" w:rsidRDefault="00523050" w:rsidP="00340389">
            <w:pPr>
              <w:jc w:val="both"/>
              <w:cnfStyle w:val="000000000000"/>
              <w:rPr>
                <w:color w:val="4CB2B3" w:themeColor="accent4"/>
                <w:sz w:val="20"/>
              </w:rPr>
            </w:pPr>
          </w:p>
        </w:tc>
      </w:tr>
      <w:tr w:rsidR="00523050" w:rsidTr="00340389">
        <w:trPr>
          <w:cnfStyle w:val="000000100000"/>
        </w:trPr>
        <w:tc>
          <w:tcPr>
            <w:cnfStyle w:val="001000000000"/>
            <w:tcW w:w="2732" w:type="dxa"/>
          </w:tcPr>
          <w:p w:rsidR="00523050" w:rsidRPr="00523050" w:rsidRDefault="00523050" w:rsidP="00340389">
            <w:pPr>
              <w:jc w:val="both"/>
              <w:rPr>
                <w:color w:val="4CB2B3" w:themeColor="accent4"/>
                <w:sz w:val="20"/>
              </w:rPr>
            </w:pPr>
          </w:p>
        </w:tc>
        <w:tc>
          <w:tcPr>
            <w:tcW w:w="2043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769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482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</w:tr>
    </w:tbl>
    <w:p w:rsidR="00523050" w:rsidRDefault="00523050" w:rsidP="00523050">
      <w:pPr>
        <w:jc w:val="both"/>
        <w:rPr>
          <w:color w:val="3F454F" w:themeColor="accent3"/>
        </w:rPr>
      </w:pPr>
    </w:p>
    <w:p w:rsidR="00523050" w:rsidRPr="00523050" w:rsidRDefault="00523050" w:rsidP="00523050">
      <w:pPr>
        <w:jc w:val="both"/>
        <w:rPr>
          <w:color w:val="4CB2B3" w:themeColor="accent4"/>
        </w:rPr>
      </w:pPr>
      <w:r w:rsidRPr="00523050">
        <w:rPr>
          <w:color w:val="4CB2B3" w:themeColor="accent4"/>
        </w:rPr>
        <w:t>[Insert hyperlinks to documents which support these claims]</w:t>
      </w:r>
    </w:p>
    <w:p w:rsidR="00523050" w:rsidRDefault="00523050" w:rsidP="00523050">
      <w:pPr>
        <w:jc w:val="both"/>
      </w:pPr>
    </w:p>
    <w:p w:rsidR="00523050" w:rsidRDefault="00523050" w:rsidP="00523050">
      <w:pPr>
        <w:pBdr>
          <w:top w:val="single" w:sz="4" w:space="1" w:color="auto"/>
          <w:bottom w:val="single" w:sz="4" w:space="10" w:color="auto"/>
        </w:pBdr>
        <w:shd w:val="clear" w:color="auto" w:fill="2C3034" w:themeFill="text1"/>
      </w:pPr>
      <w:r w:rsidRPr="00BF07EC">
        <w:t>Therefore, as demonstrate</w:t>
      </w:r>
      <w:r>
        <w:t xml:space="preserve">d in section 1.2 </w:t>
      </w:r>
      <w:r w:rsidRPr="00BF07EC">
        <w:t xml:space="preserve">this project is eligible to achieve </w:t>
      </w:r>
      <w:r w:rsidRPr="00826C27">
        <w:t>1</w:t>
      </w:r>
      <w:r w:rsidRPr="00BF07EC">
        <w:rPr>
          <w:color w:val="3F454F" w:themeColor="accent3"/>
        </w:rPr>
        <w:t xml:space="preserve"> </w:t>
      </w:r>
      <w:r w:rsidRPr="00BF07EC">
        <w:t>point</w:t>
      </w:r>
      <w:r>
        <w:t xml:space="preserve"> for VOC compliant adhesives or sealants.</w:t>
      </w:r>
    </w:p>
    <w:p w:rsidR="00523050" w:rsidRDefault="00523050" w:rsidP="00523050">
      <w:pPr>
        <w:jc w:val="both"/>
      </w:pPr>
    </w:p>
    <w:p w:rsidR="00523050" w:rsidRPr="00523050" w:rsidRDefault="00523050" w:rsidP="00523050">
      <w:pPr>
        <w:jc w:val="both"/>
        <w:rPr>
          <w:b/>
          <w:color w:val="8DC63F" w:themeColor="text2"/>
        </w:rPr>
      </w:pPr>
      <w:r w:rsidRPr="00523050">
        <w:rPr>
          <w:b/>
          <w:color w:val="8DC63F" w:themeColor="text2"/>
        </w:rPr>
        <w:t>1.3</w:t>
      </w:r>
      <w:r w:rsidRPr="00523050">
        <w:rPr>
          <w:b/>
          <w:color w:val="8DC63F" w:themeColor="text2"/>
        </w:rPr>
        <w:tab/>
        <w:t>Carpets and Flooring</w:t>
      </w:r>
    </w:p>
    <w:p w:rsidR="00523050" w:rsidRPr="00523050" w:rsidRDefault="00523050" w:rsidP="00523050">
      <w:pPr>
        <w:jc w:val="both"/>
        <w:rPr>
          <w:color w:val="4CB2B3" w:themeColor="accent4"/>
        </w:rPr>
      </w:pPr>
      <w:r w:rsidRPr="00523050">
        <w:rPr>
          <w:color w:val="4CB2B3" w:themeColor="accent4"/>
        </w:rPr>
        <w:t>[Demonstrate compliance against one of the options]</w:t>
      </w:r>
    </w:p>
    <w:p w:rsidR="00523050" w:rsidRDefault="00523050" w:rsidP="00523050">
      <w:pPr>
        <w:pStyle w:val="ListParagraph"/>
        <w:numPr>
          <w:ilvl w:val="0"/>
          <w:numId w:val="26"/>
        </w:numPr>
        <w:spacing w:before="120" w:after="0" w:line="240" w:lineRule="auto"/>
        <w:ind w:left="426" w:hanging="426"/>
        <w:jc w:val="both"/>
      </w:pPr>
      <w:r>
        <w:t>The project has specified that all carpet to be used internally meets the TVOC emissions limits outlined in Table IEQ-13.3</w:t>
      </w:r>
    </w:p>
    <w:p w:rsidR="00523050" w:rsidRDefault="00523050" w:rsidP="00523050">
      <w:pPr>
        <w:pStyle w:val="ListParagraph"/>
        <w:numPr>
          <w:ilvl w:val="0"/>
          <w:numId w:val="0"/>
        </w:numPr>
        <w:ind w:left="426"/>
        <w:jc w:val="both"/>
      </w:pPr>
    </w:p>
    <w:p w:rsidR="00523050" w:rsidRDefault="00523050" w:rsidP="00523050">
      <w:pPr>
        <w:pStyle w:val="ListParagraph"/>
        <w:numPr>
          <w:ilvl w:val="0"/>
          <w:numId w:val="26"/>
        </w:numPr>
        <w:spacing w:before="120" w:after="0" w:line="240" w:lineRule="auto"/>
        <w:ind w:left="426" w:hanging="426"/>
        <w:jc w:val="both"/>
      </w:pPr>
      <w:r>
        <w:t>The project has specified that all flooring to be used internally meets the TVOC emissions limits outlined in Table IEQ-13.3</w:t>
      </w:r>
    </w:p>
    <w:p w:rsidR="00523050" w:rsidRDefault="00523050" w:rsidP="00523050">
      <w:pPr>
        <w:jc w:val="both"/>
      </w:pPr>
    </w:p>
    <w:p w:rsidR="00523050" w:rsidRDefault="00523050" w:rsidP="00523050">
      <w:pPr>
        <w:jc w:val="both"/>
      </w:pPr>
      <w:r>
        <w:t>Details of all carpet and flooring specified on the project are included below:</w:t>
      </w:r>
    </w:p>
    <w:tbl>
      <w:tblPr>
        <w:tblStyle w:val="TableGrid"/>
        <w:tblW w:w="0" w:type="auto"/>
        <w:tblLook w:val="04A0"/>
      </w:tblPr>
      <w:tblGrid>
        <w:gridCol w:w="2835"/>
        <w:gridCol w:w="1985"/>
        <w:gridCol w:w="2126"/>
        <w:gridCol w:w="1985"/>
      </w:tblGrid>
      <w:tr w:rsidR="00523050" w:rsidTr="00340389">
        <w:trPr>
          <w:cnfStyle w:val="100000000000"/>
        </w:trPr>
        <w:tc>
          <w:tcPr>
            <w:cnfStyle w:val="001000000000"/>
            <w:tcW w:w="2835" w:type="dxa"/>
          </w:tcPr>
          <w:p w:rsidR="00523050" w:rsidRPr="00523050" w:rsidRDefault="00523050" w:rsidP="00340389">
            <w:pPr>
              <w:jc w:val="both"/>
              <w:rPr>
                <w:sz w:val="22"/>
              </w:rPr>
            </w:pPr>
            <w:r w:rsidRPr="00523050">
              <w:rPr>
                <w:sz w:val="22"/>
              </w:rPr>
              <w:t>Carpet and flooring used</w:t>
            </w:r>
          </w:p>
        </w:tc>
        <w:tc>
          <w:tcPr>
            <w:tcW w:w="1985" w:type="dxa"/>
          </w:tcPr>
          <w:p w:rsidR="00523050" w:rsidRPr="00523050" w:rsidRDefault="00523050" w:rsidP="00340389">
            <w:pPr>
              <w:jc w:val="both"/>
              <w:cnfStyle w:val="100000000000"/>
              <w:rPr>
                <w:sz w:val="22"/>
              </w:rPr>
            </w:pPr>
            <w:r w:rsidRPr="00523050">
              <w:rPr>
                <w:sz w:val="22"/>
              </w:rPr>
              <w:t>TVOC</w:t>
            </w:r>
          </w:p>
        </w:tc>
        <w:tc>
          <w:tcPr>
            <w:tcW w:w="2126" w:type="dxa"/>
          </w:tcPr>
          <w:p w:rsidR="00523050" w:rsidRPr="00523050" w:rsidRDefault="00523050" w:rsidP="00340389">
            <w:pPr>
              <w:jc w:val="both"/>
              <w:cnfStyle w:val="100000000000"/>
              <w:rPr>
                <w:sz w:val="22"/>
              </w:rPr>
            </w:pPr>
            <w:r w:rsidRPr="00523050">
              <w:rPr>
                <w:sz w:val="22"/>
              </w:rPr>
              <w:t>TVOC limit</w:t>
            </w:r>
          </w:p>
        </w:tc>
        <w:tc>
          <w:tcPr>
            <w:tcW w:w="1985" w:type="dxa"/>
          </w:tcPr>
          <w:p w:rsidR="00523050" w:rsidRPr="00523050" w:rsidRDefault="00523050" w:rsidP="00340389">
            <w:pPr>
              <w:jc w:val="both"/>
              <w:cnfStyle w:val="100000000000"/>
              <w:rPr>
                <w:sz w:val="22"/>
              </w:rPr>
            </w:pPr>
            <w:r w:rsidRPr="00523050">
              <w:rPr>
                <w:sz w:val="22"/>
              </w:rPr>
              <w:t>Compliant? [Y/N]</w:t>
            </w:r>
          </w:p>
        </w:tc>
      </w:tr>
      <w:tr w:rsidR="00523050" w:rsidTr="00340389">
        <w:trPr>
          <w:cnfStyle w:val="000000100000"/>
        </w:trPr>
        <w:tc>
          <w:tcPr>
            <w:cnfStyle w:val="001000000000"/>
            <w:tcW w:w="2835" w:type="dxa"/>
          </w:tcPr>
          <w:p w:rsidR="00523050" w:rsidRPr="00523050" w:rsidRDefault="00523050" w:rsidP="00340389">
            <w:pPr>
              <w:jc w:val="both"/>
              <w:rPr>
                <w:color w:val="4CB2B3" w:themeColor="accent4"/>
                <w:sz w:val="20"/>
              </w:rPr>
            </w:pPr>
          </w:p>
        </w:tc>
        <w:tc>
          <w:tcPr>
            <w:tcW w:w="1985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126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985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523050" w:rsidTr="00340389">
        <w:tc>
          <w:tcPr>
            <w:cnfStyle w:val="001000000000"/>
            <w:tcW w:w="2835" w:type="dxa"/>
          </w:tcPr>
          <w:p w:rsidR="00523050" w:rsidRPr="00523050" w:rsidRDefault="00523050" w:rsidP="00340389">
            <w:pPr>
              <w:jc w:val="both"/>
              <w:rPr>
                <w:color w:val="4CB2B3" w:themeColor="accent4"/>
                <w:sz w:val="20"/>
              </w:rPr>
            </w:pPr>
          </w:p>
        </w:tc>
        <w:tc>
          <w:tcPr>
            <w:tcW w:w="1985" w:type="dxa"/>
          </w:tcPr>
          <w:p w:rsidR="00523050" w:rsidRPr="00523050" w:rsidRDefault="00523050" w:rsidP="00340389">
            <w:pPr>
              <w:jc w:val="both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126" w:type="dxa"/>
          </w:tcPr>
          <w:p w:rsidR="00523050" w:rsidRPr="00523050" w:rsidRDefault="00523050" w:rsidP="00340389">
            <w:pPr>
              <w:jc w:val="both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985" w:type="dxa"/>
          </w:tcPr>
          <w:p w:rsidR="00523050" w:rsidRPr="00523050" w:rsidRDefault="00523050" w:rsidP="00340389">
            <w:pPr>
              <w:jc w:val="both"/>
              <w:cnfStyle w:val="000000000000"/>
              <w:rPr>
                <w:color w:val="4CB2B3" w:themeColor="accent4"/>
                <w:sz w:val="20"/>
              </w:rPr>
            </w:pPr>
          </w:p>
        </w:tc>
      </w:tr>
      <w:tr w:rsidR="00523050" w:rsidTr="00340389">
        <w:trPr>
          <w:cnfStyle w:val="000000100000"/>
        </w:trPr>
        <w:tc>
          <w:tcPr>
            <w:cnfStyle w:val="001000000000"/>
            <w:tcW w:w="2835" w:type="dxa"/>
          </w:tcPr>
          <w:p w:rsidR="00523050" w:rsidRPr="00523050" w:rsidRDefault="00523050" w:rsidP="00340389">
            <w:pPr>
              <w:jc w:val="both"/>
              <w:rPr>
                <w:color w:val="4CB2B3" w:themeColor="accent4"/>
                <w:sz w:val="20"/>
              </w:rPr>
            </w:pPr>
          </w:p>
        </w:tc>
        <w:tc>
          <w:tcPr>
            <w:tcW w:w="1985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126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985" w:type="dxa"/>
          </w:tcPr>
          <w:p w:rsidR="00523050" w:rsidRPr="00523050" w:rsidRDefault="00523050" w:rsidP="00340389">
            <w:pPr>
              <w:jc w:val="both"/>
              <w:cnfStyle w:val="000000100000"/>
              <w:rPr>
                <w:color w:val="4CB2B3" w:themeColor="accent4"/>
                <w:sz w:val="20"/>
              </w:rPr>
            </w:pPr>
          </w:p>
        </w:tc>
      </w:tr>
    </w:tbl>
    <w:p w:rsidR="00523050" w:rsidRDefault="00523050" w:rsidP="00523050">
      <w:pPr>
        <w:jc w:val="both"/>
        <w:rPr>
          <w:color w:val="3F454F" w:themeColor="accent3"/>
        </w:rPr>
      </w:pPr>
    </w:p>
    <w:p w:rsidR="00523050" w:rsidRDefault="00523050" w:rsidP="00523050">
      <w:pPr>
        <w:jc w:val="both"/>
        <w:rPr>
          <w:color w:val="4CB2B3" w:themeColor="accent4"/>
        </w:rPr>
      </w:pPr>
      <w:r w:rsidRPr="00523050">
        <w:rPr>
          <w:color w:val="4CB2B3" w:themeColor="accent4"/>
        </w:rPr>
        <w:t>[Insert hyperlinks to documents which support these claims]</w:t>
      </w:r>
    </w:p>
    <w:p w:rsidR="00523050" w:rsidRPr="00523050" w:rsidRDefault="00523050" w:rsidP="00523050">
      <w:pPr>
        <w:jc w:val="both"/>
        <w:rPr>
          <w:color w:val="4CB2B3" w:themeColor="accent4"/>
        </w:rPr>
      </w:pPr>
    </w:p>
    <w:p w:rsidR="00523050" w:rsidRPr="00597624" w:rsidRDefault="00523050" w:rsidP="00523050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 w:rsidRPr="00597624">
        <w:t>Therefore, as demonstrated in section 1.3, this project is eligible to achieve 1 point for VOC compliant carpets and flooring.</w:t>
      </w:r>
    </w:p>
    <w:p w:rsidR="00523050" w:rsidRDefault="00523050" w:rsidP="00523050">
      <w:pPr>
        <w:pStyle w:val="Numberedheading"/>
        <w:numPr>
          <w:ilvl w:val="0"/>
          <w:numId w:val="0"/>
        </w:numPr>
        <w:ind w:left="360"/>
      </w:pPr>
    </w:p>
    <w:p w:rsidR="00523050" w:rsidRDefault="00523050" w:rsidP="00523050">
      <w:r>
        <w:t>The following chapters of this template is relevant f</w:t>
      </w:r>
      <w:r w:rsidRPr="00890809">
        <w:t xml:space="preserve">or projects targeting this </w:t>
      </w:r>
      <w:r>
        <w:t xml:space="preserve">point </w:t>
      </w:r>
      <w:r w:rsidRPr="00890809">
        <w:t>as 'not applicable</w:t>
      </w:r>
      <w:r>
        <w:t>'</w:t>
      </w:r>
    </w:p>
    <w:p w:rsidR="00523050" w:rsidRDefault="00523050" w:rsidP="00523050">
      <w:pPr>
        <w:pStyle w:val="Numberedheading"/>
        <w:numPr>
          <w:ilvl w:val="0"/>
          <w:numId w:val="0"/>
        </w:numPr>
        <w:ind w:left="360"/>
      </w:pPr>
    </w:p>
    <w:p w:rsidR="00523050" w:rsidRDefault="00523050" w:rsidP="00523050">
      <w:pPr>
        <w:pStyle w:val="Numberedheading"/>
        <w:numPr>
          <w:ilvl w:val="0"/>
          <w:numId w:val="18"/>
        </w:numPr>
      </w:pPr>
      <w:r>
        <w:t>No carpets installed</w:t>
      </w:r>
    </w:p>
    <w:p w:rsidR="00523050" w:rsidRDefault="00523050" w:rsidP="00523050">
      <w:pPr>
        <w:ind w:left="360" w:hanging="360"/>
        <w:jc w:val="both"/>
      </w:pPr>
      <w:r>
        <w:t xml:space="preserve">The project will not install any carpets. </w:t>
      </w:r>
    </w:p>
    <w:p w:rsidR="00523050" w:rsidRDefault="00523050" w:rsidP="00523050">
      <w:pPr>
        <w:jc w:val="both"/>
        <w:rPr>
          <w:color w:val="3F454F" w:themeColor="accent3"/>
        </w:rPr>
      </w:pPr>
    </w:p>
    <w:p w:rsidR="00523050" w:rsidRPr="00523050" w:rsidRDefault="00523050" w:rsidP="00523050">
      <w:pPr>
        <w:jc w:val="both"/>
        <w:rPr>
          <w:color w:val="4CB2B3" w:themeColor="accent4"/>
        </w:rPr>
      </w:pPr>
      <w:r w:rsidRPr="00523050">
        <w:rPr>
          <w:color w:val="4CB2B3" w:themeColor="accent4"/>
        </w:rPr>
        <w:t>[Insert hyperlinks to documents which support these claims]</w:t>
      </w:r>
    </w:p>
    <w:p w:rsidR="00523050" w:rsidRPr="00AF52E9" w:rsidRDefault="00523050" w:rsidP="00523050">
      <w:pPr>
        <w:jc w:val="both"/>
      </w:pPr>
    </w:p>
    <w:p w:rsidR="00523050" w:rsidRPr="00AF52E9" w:rsidRDefault="00523050" w:rsidP="00523050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  <w:jc w:val="both"/>
      </w:pPr>
      <w:r w:rsidRPr="00AF52E9">
        <w:t xml:space="preserve">Therefore, as demonstrated in section </w:t>
      </w:r>
      <w:r>
        <w:t>2,</w:t>
      </w:r>
      <w:r w:rsidRPr="00AF52E9">
        <w:t xml:space="preserve"> this project is eligible to target this point as ‘not applicable’.</w:t>
      </w:r>
    </w:p>
    <w:p w:rsidR="00523050" w:rsidRDefault="00523050" w:rsidP="00523050"/>
    <w:p w:rsidR="00EE14B3" w:rsidRPr="00523050" w:rsidRDefault="00EE14B3" w:rsidP="00523050">
      <w:pPr>
        <w:rPr>
          <w:b/>
          <w:color w:val="8DC63F" w:themeColor="text2"/>
          <w:sz w:val="24"/>
        </w:rPr>
      </w:pPr>
      <w:r w:rsidRPr="00523050">
        <w:rPr>
          <w:b/>
          <w:color w:val="8DC63F" w:themeColor="text2"/>
          <w:sz w:val="24"/>
        </w:rPr>
        <w:t>Discussion</w:t>
      </w:r>
    </w:p>
    <w:p w:rsidR="00EE14B3" w:rsidRDefault="00EE14B3" w:rsidP="00EE14B3">
      <w:pPr>
        <w:pStyle w:val="Bluetext"/>
      </w:pPr>
      <w:r w:rsidRPr="00391850">
        <w:t>[Insert any issues you would like to highlight and clarify to the Assessment Panel.]</w:t>
      </w:r>
    </w:p>
    <w:p w:rsidR="00EE14B3" w:rsidRDefault="00EE14B3" w:rsidP="00EE14B3"/>
    <w:p w:rsidR="00EE14B3" w:rsidRPr="0035552E" w:rsidRDefault="00EE14B3" w:rsidP="00EE14B3">
      <w:r>
        <w:t xml:space="preserve">Author Details: </w:t>
      </w:r>
    </w:p>
    <w:p w:rsidR="00EE14B3" w:rsidRPr="0023233C" w:rsidRDefault="00EE14B3" w:rsidP="00EE14B3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31296DF3A89343428BDEEC35E8399551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E14B3" w:rsidRPr="0023233C" w:rsidRDefault="00EE14B3" w:rsidP="00EE14B3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E14B3" w:rsidRDefault="00EE14B3" w:rsidP="00EE14B3">
      <w:pPr>
        <w:rPr>
          <w:rFonts w:eastAsiaTheme="majorEastAsia"/>
        </w:rPr>
      </w:pPr>
    </w:p>
    <w:p w:rsidR="00EE14B3" w:rsidRDefault="00EE14B3" w:rsidP="00EE14B3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EE14B3" w:rsidRPr="0035552E" w:rsidRDefault="00EE14B3" w:rsidP="00EE14B3"/>
    <w:p w:rsidR="00EE14B3" w:rsidRDefault="00EE14B3" w:rsidP="00EE14B3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79" w:rsidRDefault="000C1579" w:rsidP="00460249">
      <w:r>
        <w:separator/>
      </w:r>
    </w:p>
  </w:endnote>
  <w:endnote w:type="continuationSeparator" w:id="1">
    <w:p w:rsidR="000C1579" w:rsidRDefault="000C1579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9" w:rsidRPr="00B85A44" w:rsidRDefault="00742254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0C1579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84420B">
          <w:rPr>
            <w:b/>
            <w:noProof/>
          </w:rPr>
          <w:t>4</w:t>
        </w:r>
        <w:r w:rsidRPr="001133B3">
          <w:rPr>
            <w:b/>
          </w:rPr>
          <w:fldChar w:fldCharType="end"/>
        </w:r>
      </w:sdtContent>
    </w:sdt>
    <w:r w:rsidR="000C1579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79" w:rsidRDefault="000C1579" w:rsidP="00460249">
      <w:r>
        <w:separator/>
      </w:r>
    </w:p>
  </w:footnote>
  <w:footnote w:type="continuationSeparator" w:id="1">
    <w:p w:rsidR="000C1579" w:rsidRDefault="000C1579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9" w:rsidRDefault="000C1579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0C1579" w:rsidRPr="00B85A44" w:rsidRDefault="000C1579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0C1579" w:rsidRPr="000650AC" w:rsidRDefault="000C1579" w:rsidP="00B85A44">
    <w:pPr>
      <w:pStyle w:val="Header"/>
      <w:rPr>
        <w:rFonts w:cs="Arial"/>
        <w:color w:val="00B0F0"/>
        <w:szCs w:val="18"/>
      </w:rPr>
    </w:pPr>
  </w:p>
  <w:p w:rsidR="000C1579" w:rsidRDefault="000C15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16F72"/>
    <w:multiLevelType w:val="hybridMultilevel"/>
    <w:tmpl w:val="ACA4AF7C"/>
    <w:lvl w:ilvl="0" w:tplc="C4847C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>
    <w:nsid w:val="264965CF"/>
    <w:multiLevelType w:val="multilevel"/>
    <w:tmpl w:val="FFBA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912419A"/>
    <w:multiLevelType w:val="hybridMultilevel"/>
    <w:tmpl w:val="DD80FA1C"/>
    <w:lvl w:ilvl="0" w:tplc="6AFA9B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F4490"/>
    <w:multiLevelType w:val="hybridMultilevel"/>
    <w:tmpl w:val="1BCCE2B0"/>
    <w:lvl w:ilvl="0" w:tplc="C4847C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D29EF"/>
    <w:multiLevelType w:val="hybridMultilevel"/>
    <w:tmpl w:val="C1EC27DC"/>
    <w:lvl w:ilvl="0" w:tplc="8F320E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1"/>
  </w:num>
  <w:num w:numId="14">
    <w:abstractNumId w:val="10"/>
  </w:num>
  <w:num w:numId="15">
    <w:abstractNumId w:val="26"/>
  </w:num>
  <w:num w:numId="16">
    <w:abstractNumId w:val="15"/>
  </w:num>
  <w:num w:numId="17">
    <w:abstractNumId w:val="19"/>
  </w:num>
  <w:num w:numId="18">
    <w:abstractNumId w:val="21"/>
  </w:num>
  <w:num w:numId="19">
    <w:abstractNumId w:val="2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>
    <w:abstractNumId w:val="16"/>
  </w:num>
  <w:num w:numId="23">
    <w:abstractNumId w:val="14"/>
  </w:num>
  <w:num w:numId="24">
    <w:abstractNumId w:val="12"/>
  </w:num>
  <w:num w:numId="25">
    <w:abstractNumId w:val="20"/>
  </w:num>
  <w:num w:numId="26">
    <w:abstractNumId w:val="2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47105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14495"/>
    <w:rsid w:val="00025CB7"/>
    <w:rsid w:val="000650AC"/>
    <w:rsid w:val="0008070C"/>
    <w:rsid w:val="000C1579"/>
    <w:rsid w:val="001047CC"/>
    <w:rsid w:val="00107548"/>
    <w:rsid w:val="001A6222"/>
    <w:rsid w:val="0022008D"/>
    <w:rsid w:val="00225AD0"/>
    <w:rsid w:val="0023484F"/>
    <w:rsid w:val="00241264"/>
    <w:rsid w:val="00252745"/>
    <w:rsid w:val="002B4B9A"/>
    <w:rsid w:val="002D74EF"/>
    <w:rsid w:val="00320CBC"/>
    <w:rsid w:val="00320EF8"/>
    <w:rsid w:val="00396CD6"/>
    <w:rsid w:val="003B2B2C"/>
    <w:rsid w:val="003C2E11"/>
    <w:rsid w:val="003E7E12"/>
    <w:rsid w:val="00414958"/>
    <w:rsid w:val="00420C67"/>
    <w:rsid w:val="00455F5F"/>
    <w:rsid w:val="00460249"/>
    <w:rsid w:val="004A5A48"/>
    <w:rsid w:val="004A750A"/>
    <w:rsid w:val="004F58D9"/>
    <w:rsid w:val="0051588D"/>
    <w:rsid w:val="00523050"/>
    <w:rsid w:val="00551E11"/>
    <w:rsid w:val="00584F37"/>
    <w:rsid w:val="00593639"/>
    <w:rsid w:val="006A39E0"/>
    <w:rsid w:val="006B2171"/>
    <w:rsid w:val="006C0BBD"/>
    <w:rsid w:val="0070092B"/>
    <w:rsid w:val="00742254"/>
    <w:rsid w:val="007A1367"/>
    <w:rsid w:val="007C68AD"/>
    <w:rsid w:val="008410D5"/>
    <w:rsid w:val="0084420B"/>
    <w:rsid w:val="008543E7"/>
    <w:rsid w:val="00873478"/>
    <w:rsid w:val="008A3A0F"/>
    <w:rsid w:val="008B02BD"/>
    <w:rsid w:val="008B34A2"/>
    <w:rsid w:val="008B435B"/>
    <w:rsid w:val="008B64BF"/>
    <w:rsid w:val="00916944"/>
    <w:rsid w:val="00940347"/>
    <w:rsid w:val="00954CBF"/>
    <w:rsid w:val="00A04A3B"/>
    <w:rsid w:val="00A15F2F"/>
    <w:rsid w:val="00AB1711"/>
    <w:rsid w:val="00AB7F1D"/>
    <w:rsid w:val="00AC4B8C"/>
    <w:rsid w:val="00AD0275"/>
    <w:rsid w:val="00B32095"/>
    <w:rsid w:val="00B33C5F"/>
    <w:rsid w:val="00B353E4"/>
    <w:rsid w:val="00B54E07"/>
    <w:rsid w:val="00B85A44"/>
    <w:rsid w:val="00BB6B53"/>
    <w:rsid w:val="00BC42CD"/>
    <w:rsid w:val="00BE2DB1"/>
    <w:rsid w:val="00C1485E"/>
    <w:rsid w:val="00C21028"/>
    <w:rsid w:val="00C54859"/>
    <w:rsid w:val="00CC19D8"/>
    <w:rsid w:val="00CD1831"/>
    <w:rsid w:val="00D019EC"/>
    <w:rsid w:val="00D50053"/>
    <w:rsid w:val="00D95CBE"/>
    <w:rsid w:val="00DA6205"/>
    <w:rsid w:val="00E05A87"/>
    <w:rsid w:val="00E323FA"/>
    <w:rsid w:val="00E407C8"/>
    <w:rsid w:val="00E42DD8"/>
    <w:rsid w:val="00E47464"/>
    <w:rsid w:val="00EB15C3"/>
    <w:rsid w:val="00ED51D6"/>
    <w:rsid w:val="00EE14B3"/>
    <w:rsid w:val="00F00E31"/>
    <w:rsid w:val="00F05524"/>
    <w:rsid w:val="00F713F5"/>
    <w:rsid w:val="00F770C0"/>
    <w:rsid w:val="00F962E9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84420B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8B02BD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8B02BD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8B02BD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8B02BD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02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4420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420B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8B02BD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8B02BD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8B02BD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8B02BD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8B02BD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8B02BD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8B02BD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8B02BD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02BD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02BD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8B02BD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8B02BD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8B02BD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8B02BD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8B02BD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8B02BD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8B02BD"/>
  </w:style>
  <w:style w:type="paragraph" w:customStyle="1" w:styleId="BodyofTextBulletpoint3rdlevel">
    <w:name w:val="Body of Text – Bullet point (3rd level)"/>
    <w:basedOn w:val="BodyoftextBulletPoint"/>
    <w:qFormat/>
    <w:rsid w:val="008B02BD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8B02BD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8B02BD"/>
  </w:style>
  <w:style w:type="character" w:customStyle="1" w:styleId="Documenttextunderlined">
    <w:name w:val="Document text underlined"/>
    <w:basedOn w:val="DefaultParagraphFont"/>
    <w:uiPriority w:val="1"/>
    <w:qFormat/>
    <w:rsid w:val="008B02BD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8B02BD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8B02BD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8B02BD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8B02BD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8B02BD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8B02BD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8B02BD"/>
    <w:rPr>
      <w:b/>
    </w:rPr>
  </w:style>
  <w:style w:type="character" w:customStyle="1" w:styleId="Dateissued">
    <w:name w:val="Date issued"/>
    <w:basedOn w:val="DefaultParagraphFont"/>
    <w:uiPriority w:val="1"/>
    <w:qFormat/>
    <w:rsid w:val="008B02BD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8B02BD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8B02BD"/>
    <w:pPr>
      <w:numPr>
        <w:numId w:val="21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8B02BD"/>
    <w:pPr>
      <w:numPr>
        <w:numId w:val="1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8B02BD"/>
  </w:style>
  <w:style w:type="paragraph" w:customStyle="1" w:styleId="HeadingSimilarStyle">
    <w:name w:val="Heading Similar Style"/>
    <w:basedOn w:val="Normal"/>
    <w:link w:val="HeadingSimilarStyleChar"/>
    <w:qFormat/>
    <w:rsid w:val="008B02BD"/>
    <w:pPr>
      <w:numPr>
        <w:ilvl w:val="1"/>
        <w:numId w:val="2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8B02BD"/>
    <w:rPr>
      <w:b/>
      <w:color w:val="00B3F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E31"/>
    <w:pPr>
      <w:spacing w:line="240" w:lineRule="auto"/>
    </w:pPr>
    <w:rPr>
      <w:b/>
      <w:bCs/>
      <w:color w:val="84C447" w:themeColor="accent1"/>
      <w:sz w:val="18"/>
      <w:szCs w:val="18"/>
    </w:rPr>
  </w:style>
  <w:style w:type="paragraph" w:customStyle="1" w:styleId="GBCAHeading4ListNumberLevel2">
    <w:name w:val="GBCA Heading 4 (List Number Level 2)"/>
    <w:basedOn w:val="Heading4"/>
    <w:rsid w:val="00F713F5"/>
    <w:pPr>
      <w:keepNext w:val="0"/>
      <w:keepLines w:val="0"/>
      <w:spacing w:before="120" w:line="240" w:lineRule="auto"/>
      <w:ind w:left="360" w:hanging="360"/>
    </w:pPr>
    <w:rPr>
      <w:rFonts w:eastAsia="Times New Roman" w:cs="Times New Roman"/>
      <w:bCs w:val="0"/>
      <w:iCs w:val="0"/>
      <w:caps/>
      <w:color w:val="00B3F0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296DF3A89343428BDEEC35E839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6DAF-6F69-4212-B9F7-16AED71C4B06}"/>
      </w:docPartPr>
      <w:docPartBody>
        <w:p w:rsidR="00F05FFF" w:rsidRDefault="00F05FFF" w:rsidP="00F05FFF">
          <w:pPr>
            <w:pStyle w:val="31296DF3A89343428BDEEC35E8399551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090664"/>
    <w:rsid w:val="00104B2E"/>
    <w:rsid w:val="00267020"/>
    <w:rsid w:val="003024AB"/>
    <w:rsid w:val="00367370"/>
    <w:rsid w:val="00552614"/>
    <w:rsid w:val="00560C7B"/>
    <w:rsid w:val="005E3B34"/>
    <w:rsid w:val="00625C95"/>
    <w:rsid w:val="00677127"/>
    <w:rsid w:val="008F1D02"/>
    <w:rsid w:val="009F349B"/>
    <w:rsid w:val="00A02461"/>
    <w:rsid w:val="00AF4D68"/>
    <w:rsid w:val="00B220FA"/>
    <w:rsid w:val="00B8136E"/>
    <w:rsid w:val="00B91AB4"/>
    <w:rsid w:val="00BA4F22"/>
    <w:rsid w:val="00C377D0"/>
    <w:rsid w:val="00DF06EB"/>
    <w:rsid w:val="00EE5FE5"/>
    <w:rsid w:val="00F0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FFF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73473E13FD0F49A5A20B35A7EAB4AFC2">
    <w:name w:val="73473E13FD0F49A5A20B35A7EAB4AFC2"/>
    <w:rsid w:val="00F05FFF"/>
  </w:style>
  <w:style w:type="paragraph" w:customStyle="1" w:styleId="31296DF3A89343428BDEEC35E8399551">
    <w:name w:val="31296DF3A89343428BDEEC35E8399551"/>
    <w:rsid w:val="00F05F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2F587-D6B7-45CF-ABB6-18CB44FA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4</cp:revision>
  <dcterms:created xsi:type="dcterms:W3CDTF">2013-10-28T00:41:00Z</dcterms:created>
  <dcterms:modified xsi:type="dcterms:W3CDTF">2013-11-04T04:54:00Z</dcterms:modified>
</cp:coreProperties>
</file>