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F5" w:rsidRPr="0035552E" w:rsidRDefault="003E4E62" w:rsidP="00F713F5">
      <w:pPr>
        <w:pStyle w:val="Heading1"/>
      </w:pPr>
      <w:bookmarkStart w:id="0" w:name="_Toc94610314"/>
      <w:bookmarkStart w:id="1" w:name="_Toc98301847"/>
      <w:r w:rsidRPr="00D854AD">
        <w:rPr>
          <w:rStyle w:val="DocumentTextGreenBold"/>
        </w:rPr>
        <w:pict>
          <v:roundrect id="_x0000_s1030" style="position:absolute;margin-left:243.05pt;margin-top:4.2pt;width:296.15pt;height:49.9pt;z-index:251658240;mso-position-horizontal-relative:margin;mso-width-relative:margin;mso-height-relative:margin" arcsize="10923f" fillcolor="#2c3034 [3213]" strokecolor="#3f454f [3206]">
            <v:textbox style="mso-next-textbox:#_x0000_s1030">
              <w:txbxContent>
                <w:p w:rsidR="000C1579" w:rsidRPr="00FD57F2" w:rsidRDefault="000C1579" w:rsidP="00F713F5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F713F5" w:rsidRPr="00D854AD">
        <w:rPr>
          <w:rStyle w:val="DocumentTextGreenBold"/>
        </w:rPr>
        <w:t xml:space="preserve">Green Star </w:t>
      </w:r>
      <w:r w:rsidR="00F713F5" w:rsidRPr="00D854AD">
        <w:rPr>
          <w:rStyle w:val="DocumentTextGreenBold"/>
        </w:rPr>
        <w:br/>
        <w:t>Short Report</w:t>
      </w:r>
      <w:r w:rsidR="00F713F5" w:rsidRPr="00D854AD">
        <w:rPr>
          <w:rStyle w:val="DocumentTextGreenBold"/>
        </w:rPr>
        <w:br/>
        <w:t>Round</w:t>
      </w:r>
      <w:r w:rsidR="00F713F5" w:rsidRPr="0035552E">
        <w:t xml:space="preserve"> </w:t>
      </w:r>
      <w:r w:rsidR="00F713F5" w:rsidRPr="00F713F5">
        <w:rPr>
          <w:color w:val="4CB2B3" w:themeColor="accent4"/>
        </w:rPr>
        <w:t>[1/2]</w:t>
      </w:r>
    </w:p>
    <w:p w:rsidR="00F713F5" w:rsidRPr="00F713F5" w:rsidRDefault="00F713F5" w:rsidP="00F713F5">
      <w:pPr>
        <w:pStyle w:val="BodyText2"/>
      </w:pPr>
      <w:r w:rsidRPr="00F713F5">
        <w:t xml:space="preserve">Green Star – Office Design v3 </w:t>
      </w:r>
    </w:p>
    <w:p w:rsidR="00F713F5" w:rsidRPr="00F713F5" w:rsidRDefault="00F713F5" w:rsidP="00F713F5">
      <w:pPr>
        <w:pStyle w:val="BodyText2"/>
      </w:pPr>
      <w:r w:rsidRPr="00F713F5">
        <w:t xml:space="preserve">Credit: </w:t>
      </w:r>
      <w:r w:rsidR="00300144">
        <w:t>IEQ-9 Thermal Comfort</w:t>
      </w:r>
      <w:r w:rsidRPr="00F713F5">
        <w:t xml:space="preserve"> 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Name:</w:t>
      </w:r>
      <w:r w:rsidRPr="00F403F0">
        <w:rPr>
          <w:b w:val="0"/>
        </w:rPr>
        <w:t xml:space="preserve"> </w:t>
      </w:r>
      <w:r w:rsidRPr="00F713F5">
        <w:rPr>
          <w:b w:val="0"/>
          <w:color w:val="4CB2B3" w:themeColor="accent4"/>
        </w:rPr>
        <w:t>[name]</w:t>
      </w:r>
    </w:p>
    <w:p w:rsidR="00F713F5" w:rsidRPr="00F403F0" w:rsidRDefault="00F713F5" w:rsidP="00F713F5">
      <w:pPr>
        <w:pStyle w:val="BodyText2"/>
        <w:rPr>
          <w:b w:val="0"/>
        </w:rPr>
      </w:pPr>
      <w:r w:rsidRPr="00F713F5">
        <w:t>Project Number: GS</w:t>
      </w:r>
      <w:r w:rsidRPr="00F403F0">
        <w:rPr>
          <w:b w:val="0"/>
        </w:rPr>
        <w:t>-</w:t>
      </w:r>
      <w:r w:rsidRPr="00F713F5">
        <w:rPr>
          <w:b w:val="0"/>
          <w:color w:val="4CB2B3" w:themeColor="accent4"/>
        </w:rPr>
        <w:t>[####]</w:t>
      </w:r>
    </w:p>
    <w:p w:rsidR="00F713F5" w:rsidRPr="004F5B31" w:rsidRDefault="00F713F5" w:rsidP="00F713F5">
      <w:pPr>
        <w:pStyle w:val="BodyText2"/>
      </w:pPr>
      <w:r w:rsidRPr="00F403F0">
        <w:rPr>
          <w:rStyle w:val="Heading3Char"/>
          <w:rFonts w:eastAsia="Calibri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300144">
        <w:rPr>
          <w:rFonts w:eastAsia="Calibri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Style w:val="Heading3Char"/>
          <w:rFonts w:eastAsia="Calibri"/>
        </w:rPr>
        <w:t xml:space="preserve">Points claimed: </w:t>
      </w:r>
      <w:r w:rsidRPr="00F713F5">
        <w:rPr>
          <w:rStyle w:val="Heading3Char"/>
          <w:rFonts w:eastAsia="Calibri"/>
          <w:color w:val="4CB2B3" w:themeColor="accent4"/>
        </w:rPr>
        <w:t xml:space="preserve">[1, </w:t>
      </w:r>
      <w:r w:rsidR="00300144">
        <w:rPr>
          <w:rStyle w:val="Heading3Char"/>
          <w:rFonts w:eastAsia="Calibri"/>
          <w:color w:val="4CB2B3" w:themeColor="accent4"/>
        </w:rPr>
        <w:t>2</w:t>
      </w:r>
      <w:r w:rsidRPr="00F713F5">
        <w:rPr>
          <w:rStyle w:val="Heading3Char"/>
          <w:rFonts w:eastAsia="Calibri"/>
          <w:color w:val="4CB2B3" w:themeColor="accent4"/>
        </w:rPr>
        <w:t>]</w:t>
      </w:r>
    </w:p>
    <w:bookmarkEnd w:id="0"/>
    <w:bookmarkEnd w:id="1"/>
    <w:p w:rsidR="00EE14B3" w:rsidRDefault="00EE14B3" w:rsidP="00EE14B3">
      <w:pPr>
        <w:pStyle w:val="Numberedheading"/>
        <w:numPr>
          <w:ilvl w:val="0"/>
          <w:numId w:val="18"/>
        </w:numPr>
      </w:pPr>
      <w:r>
        <w:t xml:space="preserve">Credit Compliance </w:t>
      </w:r>
    </w:p>
    <w:p w:rsidR="00300144" w:rsidRDefault="00EE14B3" w:rsidP="00300144">
      <w:pPr>
        <w:tabs>
          <w:tab w:val="left" w:pos="6255"/>
        </w:tabs>
        <w:jc w:val="both"/>
      </w:pPr>
      <w:r>
        <w:t>The following chapters of this template are relevant f</w:t>
      </w:r>
      <w:r w:rsidRPr="00890809">
        <w:t>or projects targeting points for this credit:</w:t>
      </w:r>
      <w:r>
        <w:br/>
      </w:r>
      <w:r w:rsidR="00300144">
        <w:tab/>
      </w:r>
    </w:p>
    <w:p w:rsidR="00300144" w:rsidRPr="00300144" w:rsidRDefault="00300144" w:rsidP="00300144">
      <w:pPr>
        <w:pStyle w:val="Heading3"/>
        <w:keepNext w:val="0"/>
        <w:keepLines w:val="0"/>
        <w:numPr>
          <w:ilvl w:val="1"/>
          <w:numId w:val="24"/>
        </w:numPr>
        <w:spacing w:before="240" w:after="60" w:line="240" w:lineRule="auto"/>
        <w:rPr>
          <w:sz w:val="22"/>
        </w:rPr>
      </w:pPr>
      <w:r w:rsidRPr="00300144">
        <w:rPr>
          <w:sz w:val="22"/>
        </w:rPr>
        <w:t>Naturally Ventilated and Mechanically Assisted Naturally Ventilated Spaces</w:t>
      </w:r>
    </w:p>
    <w:p w:rsidR="00300144" w:rsidRDefault="00300144" w:rsidP="00300144">
      <w:pPr>
        <w:jc w:val="both"/>
      </w:pPr>
      <w:r>
        <w:t xml:space="preserve">The project is meeting the requirements of credit IEQ-1 ‘Ventilation Rates’ for naturally ventilated spaces, therefore is able to demonstrate that </w:t>
      </w:r>
      <w:r w:rsidRPr="00300144">
        <w:rPr>
          <w:color w:val="4CB2B3" w:themeColor="accent4"/>
        </w:rPr>
        <w:t xml:space="preserve">[95%] </w:t>
      </w:r>
      <w:r>
        <w:t xml:space="preserve">of the Net Lettable Area (NLA) is naturally ventilated in accordance with AS1668.2-2002.  It is clearly demonstrated that ventilation rates can be directly controlled by occupants in ‘naturally ventilated’ spaces. </w:t>
      </w:r>
    </w:p>
    <w:p w:rsidR="00300144" w:rsidRDefault="00300144" w:rsidP="00300144">
      <w:pPr>
        <w:jc w:val="both"/>
      </w:pPr>
    </w:p>
    <w:p w:rsidR="00300144" w:rsidRDefault="00300144" w:rsidP="00300144">
      <w:pPr>
        <w:jc w:val="both"/>
      </w:pPr>
      <w:r>
        <w:t xml:space="preserve">The project has been designed in accordance with ASHRAE Standard 55-2004. Internal temperatures have been shown to be within </w:t>
      </w:r>
      <w:r w:rsidRPr="00300144">
        <w:rPr>
          <w:color w:val="4CB2B3" w:themeColor="accent4"/>
        </w:rPr>
        <w:t>[80% or 90%]</w:t>
      </w:r>
      <w:r>
        <w:t xml:space="preserve"> of the Acceptability Limit 1 and achieved during Standard Hours of Occupancy for</w:t>
      </w:r>
      <w:r w:rsidRPr="00300144">
        <w:rPr>
          <w:color w:val="4CB2B3" w:themeColor="accent4"/>
        </w:rPr>
        <w:t xml:space="preserve"> [98%] </w:t>
      </w:r>
      <w:r>
        <w:t>of the year. The project is also targeting IEQ-10 ‘Individual Comfort Control’ which is a prerequisite to this credit.</w:t>
      </w:r>
    </w:p>
    <w:p w:rsidR="00300144" w:rsidRDefault="00300144" w:rsidP="00300144"/>
    <w:p w:rsidR="00300144" w:rsidRPr="00300144" w:rsidRDefault="00300144" w:rsidP="00300144">
      <w:pPr>
        <w:jc w:val="both"/>
        <w:rPr>
          <w:color w:val="4CB2B3" w:themeColor="accent4"/>
        </w:rPr>
      </w:pPr>
      <w:r w:rsidRPr="00300144">
        <w:rPr>
          <w:color w:val="4CB2B3" w:themeColor="accent4"/>
        </w:rPr>
        <w:t>[Insert hyperlinks to documents which support these claims]</w:t>
      </w:r>
    </w:p>
    <w:p w:rsidR="00300144" w:rsidRPr="00037BBE" w:rsidRDefault="00300144" w:rsidP="00300144">
      <w:pPr>
        <w:jc w:val="both"/>
      </w:pPr>
    </w:p>
    <w:p w:rsidR="00300144" w:rsidRDefault="00300144" w:rsidP="00300144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t>Therefore, as demonstrated in section 1.1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</w:t>
      </w:r>
      <w:r w:rsidRPr="00300144">
        <w:rPr>
          <w:color w:val="4CB2B3" w:themeColor="accent4"/>
        </w:rPr>
        <w:t>[1 or 2]</w:t>
      </w:r>
      <w:r>
        <w:t xml:space="preserve"> point(s) for achieving </w:t>
      </w:r>
      <w:proofErr w:type="gramStart"/>
      <w:r>
        <w:t>internal</w:t>
      </w:r>
      <w:proofErr w:type="gramEnd"/>
      <w:r>
        <w:t xml:space="preserve"> temperatures within </w:t>
      </w:r>
      <w:r w:rsidRPr="00300144">
        <w:rPr>
          <w:color w:val="4CB2B3" w:themeColor="accent4"/>
        </w:rPr>
        <w:t>[80% or 90%]</w:t>
      </w:r>
      <w:r>
        <w:t xml:space="preserve"> of Acceptability Limit 1 for a least 98% of the year’s Standard Operating Hours of Occupancy.</w:t>
      </w:r>
    </w:p>
    <w:p w:rsidR="00300144" w:rsidRDefault="00300144" w:rsidP="00300144">
      <w:pPr>
        <w:pStyle w:val="GBCAHeading4"/>
      </w:pPr>
    </w:p>
    <w:p w:rsidR="00300144" w:rsidRDefault="00300144" w:rsidP="00300144">
      <w:pPr>
        <w:pStyle w:val="GBCAHeading4"/>
      </w:pPr>
    </w:p>
    <w:p w:rsidR="00300144" w:rsidRDefault="00300144" w:rsidP="00300144">
      <w:pPr>
        <w:pStyle w:val="GBCAHeading4"/>
      </w:pPr>
    </w:p>
    <w:p w:rsidR="00300144" w:rsidRPr="00300144" w:rsidRDefault="00300144" w:rsidP="00300144">
      <w:pPr>
        <w:pStyle w:val="Heading3"/>
        <w:keepNext w:val="0"/>
        <w:keepLines w:val="0"/>
        <w:numPr>
          <w:ilvl w:val="1"/>
          <w:numId w:val="24"/>
        </w:numPr>
        <w:spacing w:before="240" w:after="60" w:line="240" w:lineRule="auto"/>
        <w:ind w:left="709" w:hanging="709"/>
        <w:rPr>
          <w:sz w:val="22"/>
        </w:rPr>
      </w:pPr>
      <w:r w:rsidRPr="00300144">
        <w:rPr>
          <w:sz w:val="22"/>
        </w:rPr>
        <w:lastRenderedPageBreak/>
        <w:t>Mechanically Air-Conditioned Spaces</w:t>
      </w:r>
    </w:p>
    <w:p w:rsidR="00300144" w:rsidRDefault="00300144" w:rsidP="00300144">
      <w:r>
        <w:t xml:space="preserve">Thermal comfort has been designed to achieve the Predicted Mean Vote (PMV) levels, calculated in accordance with ISO7730, during Standard Operating Hours of Occupancy for </w:t>
      </w:r>
      <w:r w:rsidRPr="00300144">
        <w:rPr>
          <w:color w:val="4CB2B3" w:themeColor="accent4"/>
        </w:rPr>
        <w:t>[98%]</w:t>
      </w:r>
      <w:r>
        <w:rPr>
          <w:color w:val="3F454F" w:themeColor="accent3"/>
        </w:rPr>
        <w:t xml:space="preserve"> </w:t>
      </w:r>
      <w:r>
        <w:t xml:space="preserve">of the year using standard clothing, metabolic rate and air velocity values for PMV levels between </w:t>
      </w:r>
      <w:r w:rsidRPr="00300144">
        <w:rPr>
          <w:color w:val="4CB2B3" w:themeColor="accent4"/>
        </w:rPr>
        <w:t>[</w:t>
      </w:r>
      <w:r w:rsidRPr="00300144">
        <w:rPr>
          <w:rFonts w:cs="Arial"/>
          <w:color w:val="4CB2B3" w:themeColor="accent4"/>
        </w:rPr>
        <w:t>±</w:t>
      </w:r>
      <w:r w:rsidRPr="00300144">
        <w:rPr>
          <w:color w:val="4CB2B3" w:themeColor="accent4"/>
        </w:rPr>
        <w:t xml:space="preserve">1 or </w:t>
      </w:r>
      <w:r w:rsidRPr="00300144">
        <w:rPr>
          <w:rFonts w:cs="Arial"/>
          <w:color w:val="4CB2B3" w:themeColor="accent4"/>
        </w:rPr>
        <w:t>±</w:t>
      </w:r>
      <w:r w:rsidRPr="00300144">
        <w:rPr>
          <w:color w:val="4CB2B3" w:themeColor="accent4"/>
        </w:rPr>
        <w:t>0.5]</w:t>
      </w:r>
      <w:r>
        <w:t xml:space="preserve"> inclusive.  </w:t>
      </w:r>
    </w:p>
    <w:p w:rsidR="00300144" w:rsidRDefault="00300144" w:rsidP="00300144"/>
    <w:p w:rsidR="00300144" w:rsidRDefault="00300144" w:rsidP="0030014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: </w:t>
      </w:r>
      <w:r w:rsidRPr="00BC04E8">
        <w:t>Calculating Compliance for Mechanically Air-Conditioned Spaces</w:t>
      </w:r>
    </w:p>
    <w:tbl>
      <w:tblPr>
        <w:tblStyle w:val="TableGrid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1985"/>
        <w:gridCol w:w="2409"/>
        <w:gridCol w:w="2947"/>
      </w:tblGrid>
      <w:tr w:rsidR="00300144" w:rsidRPr="00A7543B" w:rsidTr="006B3784">
        <w:trPr>
          <w:cnfStyle w:val="100000000000"/>
          <w:trHeight w:val="473"/>
        </w:trPr>
        <w:tc>
          <w:tcPr>
            <w:cnfStyle w:val="001000000000"/>
            <w:tcW w:w="2415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rPr>
                <w:sz w:val="22"/>
              </w:rPr>
            </w:pPr>
            <w:r w:rsidRPr="00300144">
              <w:rPr>
                <w:sz w:val="22"/>
              </w:rPr>
              <w:t>Floor</w:t>
            </w:r>
          </w:p>
        </w:tc>
        <w:tc>
          <w:tcPr>
            <w:tcW w:w="1985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>Zone</w:t>
            </w:r>
          </w:p>
        </w:tc>
        <w:tc>
          <w:tcPr>
            <w:tcW w:w="2409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 xml:space="preserve">Total Area </w:t>
            </w:r>
          </w:p>
        </w:tc>
        <w:tc>
          <w:tcPr>
            <w:tcW w:w="2947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 xml:space="preserve">Percentage of occupied hours with PMV of </w:t>
            </w:r>
            <w:r w:rsidRPr="00300144">
              <w:rPr>
                <w:color w:val="4CB2B3" w:themeColor="accent4"/>
                <w:sz w:val="22"/>
              </w:rPr>
              <w:t>[</w:t>
            </w:r>
            <w:r w:rsidRPr="00300144">
              <w:rPr>
                <w:rFonts w:cs="Arial"/>
                <w:color w:val="4CB2B3" w:themeColor="accent4"/>
                <w:sz w:val="22"/>
              </w:rPr>
              <w:t>±</w:t>
            </w:r>
            <w:r w:rsidRPr="00300144">
              <w:rPr>
                <w:color w:val="4CB2B3" w:themeColor="accent4"/>
                <w:sz w:val="22"/>
              </w:rPr>
              <w:t xml:space="preserve">1 or </w:t>
            </w:r>
            <w:r w:rsidRPr="00300144">
              <w:rPr>
                <w:rFonts w:cs="Arial"/>
                <w:color w:val="4CB2B3" w:themeColor="accent4"/>
                <w:sz w:val="22"/>
              </w:rPr>
              <w:t>±</w:t>
            </w:r>
            <w:r w:rsidRPr="00300144">
              <w:rPr>
                <w:color w:val="4CB2B3" w:themeColor="accent4"/>
                <w:sz w:val="22"/>
              </w:rPr>
              <w:t xml:space="preserve">0.5] </w:t>
            </w:r>
          </w:p>
        </w:tc>
      </w:tr>
      <w:tr w:rsidR="00300144" w:rsidTr="006B3784">
        <w:trPr>
          <w:cnfStyle w:val="000000100000"/>
          <w:trHeight w:val="454"/>
        </w:trPr>
        <w:tc>
          <w:tcPr>
            <w:cnfStyle w:val="001000000000"/>
            <w:tcW w:w="2415" w:type="dxa"/>
          </w:tcPr>
          <w:p w:rsidR="00300144" w:rsidRPr="00300144" w:rsidRDefault="00300144" w:rsidP="006B3784">
            <w:p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409" w:type="dxa"/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947" w:type="dxa"/>
          </w:tcPr>
          <w:p w:rsidR="00300144" w:rsidRPr="00300144" w:rsidRDefault="00300144" w:rsidP="006B3784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</w:tr>
      <w:tr w:rsidR="00300144" w:rsidTr="006B3784">
        <w:trPr>
          <w:trHeight w:val="454"/>
        </w:trPr>
        <w:tc>
          <w:tcPr>
            <w:cnfStyle w:val="001000000000"/>
            <w:tcW w:w="2415" w:type="dxa"/>
          </w:tcPr>
          <w:p w:rsidR="00300144" w:rsidRPr="00300144" w:rsidRDefault="00300144" w:rsidP="006B3784">
            <w:p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</w:tcPr>
          <w:p w:rsidR="00300144" w:rsidRPr="00300144" w:rsidRDefault="00300144" w:rsidP="006B3784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409" w:type="dxa"/>
          </w:tcPr>
          <w:p w:rsidR="00300144" w:rsidRPr="00300144" w:rsidRDefault="00300144" w:rsidP="006B3784">
            <w:pPr>
              <w:jc w:val="center"/>
              <w:cnfStyle w:val="000000000000"/>
              <w:rPr>
                <w:color w:val="4CB2B3" w:themeColor="accent4"/>
                <w:sz w:val="20"/>
              </w:rPr>
            </w:pPr>
          </w:p>
        </w:tc>
        <w:tc>
          <w:tcPr>
            <w:tcW w:w="2947" w:type="dxa"/>
          </w:tcPr>
          <w:p w:rsidR="00300144" w:rsidRPr="00300144" w:rsidRDefault="00300144" w:rsidP="006B3784">
            <w:pPr>
              <w:jc w:val="center"/>
              <w:cnfStyle w:val="000000000000"/>
              <w:rPr>
                <w:b/>
                <w:color w:val="4CB2B3" w:themeColor="accent4"/>
                <w:sz w:val="20"/>
              </w:rPr>
            </w:pPr>
          </w:p>
        </w:tc>
      </w:tr>
      <w:tr w:rsidR="00300144" w:rsidTr="006B3784">
        <w:trPr>
          <w:cnfStyle w:val="000000100000"/>
          <w:trHeight w:val="454"/>
        </w:trPr>
        <w:tc>
          <w:tcPr>
            <w:cnfStyle w:val="001000000000"/>
            <w:tcW w:w="2415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rPr>
                <w:color w:val="4CB2B3" w:themeColor="accent4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  <w:sz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b/>
                <w:color w:val="4CB2B3" w:themeColor="accent4"/>
                <w:sz w:val="20"/>
              </w:rPr>
            </w:pPr>
          </w:p>
        </w:tc>
      </w:tr>
    </w:tbl>
    <w:p w:rsidR="00300144" w:rsidRPr="001657AC" w:rsidRDefault="00300144" w:rsidP="00300144"/>
    <w:p w:rsidR="00300144" w:rsidRPr="00300144" w:rsidRDefault="00300144" w:rsidP="00300144">
      <w:pPr>
        <w:jc w:val="both"/>
        <w:rPr>
          <w:color w:val="4CB2B3" w:themeColor="accent4"/>
        </w:rPr>
      </w:pPr>
      <w:r w:rsidRPr="00300144">
        <w:rPr>
          <w:color w:val="4CB2B3" w:themeColor="accent4"/>
        </w:rPr>
        <w:t>[Insert hyperlinks to documents which support these claims]</w:t>
      </w:r>
    </w:p>
    <w:p w:rsidR="00300144" w:rsidRDefault="00300144" w:rsidP="00300144">
      <w:pPr>
        <w:pStyle w:val="GBCAHeading4"/>
      </w:pPr>
    </w:p>
    <w:p w:rsidR="00300144" w:rsidRDefault="00300144" w:rsidP="00300144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t>Therefore, as demonstrated in section 1.2</w:t>
      </w:r>
      <w:r w:rsidRPr="00782A11">
        <w:t>,</w:t>
      </w:r>
      <w:r>
        <w:rPr>
          <w:color w:val="2F333B" w:themeColor="accent3" w:themeShade="BF"/>
        </w:rPr>
        <w:t xml:space="preserve"> </w:t>
      </w:r>
      <w:r>
        <w:t xml:space="preserve">this project is eligible to achieve </w:t>
      </w:r>
      <w:r w:rsidRPr="00300144">
        <w:rPr>
          <w:color w:val="4CB2B3" w:themeColor="accent4"/>
        </w:rPr>
        <w:t>[1 or 2]</w:t>
      </w:r>
      <w:r>
        <w:t xml:space="preserve"> point(s) for achieving PMV levels between </w:t>
      </w:r>
      <w:r w:rsidRPr="00300144">
        <w:rPr>
          <w:color w:val="4CB2B3" w:themeColor="accent4"/>
        </w:rPr>
        <w:t>[</w:t>
      </w:r>
      <w:r w:rsidRPr="00300144">
        <w:rPr>
          <w:rFonts w:cs="Arial"/>
          <w:color w:val="4CB2B3" w:themeColor="accent4"/>
        </w:rPr>
        <w:t>±</w:t>
      </w:r>
      <w:r w:rsidRPr="00300144">
        <w:rPr>
          <w:color w:val="4CB2B3" w:themeColor="accent4"/>
        </w:rPr>
        <w:t xml:space="preserve">1 </w:t>
      </w:r>
      <w:proofErr w:type="gramStart"/>
      <w:r w:rsidRPr="00300144">
        <w:rPr>
          <w:color w:val="4CB2B3" w:themeColor="accent4"/>
        </w:rPr>
        <w:t>or</w:t>
      </w:r>
      <w:proofErr w:type="gramEnd"/>
      <w:r w:rsidRPr="00300144">
        <w:rPr>
          <w:color w:val="4CB2B3" w:themeColor="accent4"/>
        </w:rPr>
        <w:t xml:space="preserve"> </w:t>
      </w:r>
      <w:r w:rsidRPr="00300144">
        <w:rPr>
          <w:rFonts w:cs="Arial"/>
          <w:color w:val="4CB2B3" w:themeColor="accent4"/>
        </w:rPr>
        <w:t>±</w:t>
      </w:r>
      <w:r w:rsidRPr="00300144">
        <w:rPr>
          <w:color w:val="4CB2B3" w:themeColor="accent4"/>
        </w:rPr>
        <w:t>0.5]</w:t>
      </w:r>
      <w:r w:rsidRPr="00300144">
        <w:t>,</w:t>
      </w:r>
      <w:r>
        <w:t xml:space="preserve"> inclusive for a least 98% of the year’s Standard Operating Hours of Occupancy.</w:t>
      </w:r>
    </w:p>
    <w:p w:rsidR="00300144" w:rsidRDefault="00300144" w:rsidP="00300144">
      <w:pPr>
        <w:pStyle w:val="GBCAHeading4"/>
      </w:pPr>
    </w:p>
    <w:p w:rsidR="00300144" w:rsidRPr="00300144" w:rsidRDefault="00300144" w:rsidP="00300144">
      <w:pPr>
        <w:pStyle w:val="Heading3"/>
        <w:keepNext w:val="0"/>
        <w:keepLines w:val="0"/>
        <w:numPr>
          <w:ilvl w:val="1"/>
          <w:numId w:val="24"/>
        </w:numPr>
        <w:spacing w:before="240" w:after="60" w:line="240" w:lineRule="auto"/>
        <w:ind w:left="709" w:hanging="709"/>
        <w:rPr>
          <w:sz w:val="22"/>
        </w:rPr>
      </w:pPr>
      <w:r w:rsidRPr="00300144">
        <w:rPr>
          <w:sz w:val="22"/>
        </w:rPr>
        <w:t>Mixed-mode Ventilated Spaces</w:t>
      </w:r>
    </w:p>
    <w:p w:rsidR="00300144" w:rsidRPr="00DB7BAA" w:rsidRDefault="00300144" w:rsidP="00300144">
      <w:r>
        <w:t>The space or the building uses both natural and mechanical ventilation and independently satisfies the criteria for both naturally ventilated and mechanically air-conditioned spaces. Sections 1.1 and 1.2 have been completed for their associated spaces and supporting documentation provided.</w:t>
      </w:r>
    </w:p>
    <w:p w:rsidR="00300144" w:rsidRDefault="00300144" w:rsidP="00300144">
      <w:r>
        <w:t>Please provide a summary of the project’s compliance against the natural and mechanical requirements:</w:t>
      </w:r>
    </w:p>
    <w:p w:rsidR="00300144" w:rsidRDefault="00300144" w:rsidP="00300144"/>
    <w:p w:rsidR="00300144" w:rsidRDefault="00300144" w:rsidP="00300144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: </w:t>
      </w:r>
      <w:r w:rsidRPr="00175926">
        <w:t>Calculating Compliance for Mixed Mode Ventilation</w:t>
      </w:r>
    </w:p>
    <w:tbl>
      <w:tblPr>
        <w:tblStyle w:val="TableGrid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1827"/>
        <w:gridCol w:w="1960"/>
        <w:gridCol w:w="2294"/>
        <w:gridCol w:w="2336"/>
      </w:tblGrid>
      <w:tr w:rsidR="00300144" w:rsidRPr="00A7543B" w:rsidTr="006B3784">
        <w:trPr>
          <w:cnfStyle w:val="100000000000"/>
          <w:trHeight w:val="473"/>
        </w:trPr>
        <w:tc>
          <w:tcPr>
            <w:cnfStyle w:val="001000000000"/>
            <w:tcW w:w="1339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rPr>
                <w:sz w:val="22"/>
              </w:rPr>
            </w:pPr>
            <w:r w:rsidRPr="00300144">
              <w:rPr>
                <w:sz w:val="22"/>
              </w:rPr>
              <w:t>Floor</w:t>
            </w:r>
          </w:p>
        </w:tc>
        <w:tc>
          <w:tcPr>
            <w:tcW w:w="1827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>Zone</w:t>
            </w:r>
          </w:p>
        </w:tc>
        <w:tc>
          <w:tcPr>
            <w:tcW w:w="1960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>Total NLA</w:t>
            </w:r>
          </w:p>
        </w:tc>
        <w:tc>
          <w:tcPr>
            <w:tcW w:w="2294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>Total NLA Meeting Natural Ventilation Requirements</w:t>
            </w:r>
            <w:r w:rsidRPr="00300144" w:rsidDel="005B7DF4">
              <w:rPr>
                <w:sz w:val="22"/>
              </w:rPr>
              <w:t xml:space="preserve"> </w:t>
            </w:r>
            <w:r w:rsidRPr="00300144">
              <w:rPr>
                <w:sz w:val="22"/>
              </w:rPr>
              <w:t xml:space="preserve">Of </w:t>
            </w:r>
            <w:r w:rsidRPr="00300144">
              <w:rPr>
                <w:color w:val="4CB2B3" w:themeColor="accent4"/>
                <w:sz w:val="22"/>
              </w:rPr>
              <w:t>[80% or 90%]</w:t>
            </w:r>
          </w:p>
        </w:tc>
        <w:tc>
          <w:tcPr>
            <w:tcW w:w="2336" w:type="dxa"/>
            <w:shd w:val="clear" w:color="auto" w:fill="E6F3DA" w:themeFill="accent1" w:themeFillTint="33"/>
          </w:tcPr>
          <w:p w:rsidR="00300144" w:rsidRPr="00300144" w:rsidRDefault="00300144" w:rsidP="006B3784">
            <w:pPr>
              <w:jc w:val="center"/>
              <w:cnfStyle w:val="100000000000"/>
              <w:rPr>
                <w:b w:val="0"/>
                <w:sz w:val="22"/>
              </w:rPr>
            </w:pPr>
            <w:r w:rsidRPr="00300144">
              <w:rPr>
                <w:sz w:val="22"/>
              </w:rPr>
              <w:t xml:space="preserve">Total NLA Meeting Mechanical Ventilation Requirements Of </w:t>
            </w:r>
            <w:r w:rsidRPr="00300144">
              <w:rPr>
                <w:color w:val="4CB2B3" w:themeColor="accent4"/>
                <w:sz w:val="22"/>
              </w:rPr>
              <w:t>[</w:t>
            </w:r>
            <w:r w:rsidRPr="00300144">
              <w:rPr>
                <w:rFonts w:cs="Arial"/>
                <w:color w:val="4CB2B3" w:themeColor="accent4"/>
                <w:sz w:val="22"/>
              </w:rPr>
              <w:t>±</w:t>
            </w:r>
            <w:r w:rsidRPr="00300144">
              <w:rPr>
                <w:color w:val="4CB2B3" w:themeColor="accent4"/>
                <w:sz w:val="22"/>
              </w:rPr>
              <w:t xml:space="preserve">1 or </w:t>
            </w:r>
            <w:r w:rsidRPr="00300144">
              <w:rPr>
                <w:rFonts w:cs="Arial"/>
                <w:color w:val="4CB2B3" w:themeColor="accent4"/>
                <w:sz w:val="22"/>
              </w:rPr>
              <w:t>±</w:t>
            </w:r>
            <w:r w:rsidRPr="00300144">
              <w:rPr>
                <w:color w:val="4CB2B3" w:themeColor="accent4"/>
                <w:sz w:val="22"/>
              </w:rPr>
              <w:t>0.5]</w:t>
            </w:r>
          </w:p>
        </w:tc>
      </w:tr>
      <w:tr w:rsidR="00300144" w:rsidTr="006B3784">
        <w:trPr>
          <w:cnfStyle w:val="000000100000"/>
          <w:trHeight w:val="454"/>
        </w:trPr>
        <w:tc>
          <w:tcPr>
            <w:cnfStyle w:val="001000000000"/>
            <w:tcW w:w="1339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rPr>
                <w:b w:val="0"/>
                <w:color w:val="4CB2B3" w:themeColor="accent4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color w:val="4CB2B3" w:themeColor="accent4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300144" w:rsidRPr="00300144" w:rsidRDefault="00300144" w:rsidP="006B3784">
            <w:p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  <w:tc>
          <w:tcPr>
            <w:tcW w:w="2336" w:type="dxa"/>
          </w:tcPr>
          <w:p w:rsidR="00300144" w:rsidRPr="00300144" w:rsidRDefault="00300144" w:rsidP="006B3784">
            <w:pPr>
              <w:jc w:val="center"/>
              <w:cnfStyle w:val="000000100000"/>
              <w:rPr>
                <w:b/>
                <w:color w:val="4CB2B3" w:themeColor="accent4"/>
              </w:rPr>
            </w:pPr>
          </w:p>
        </w:tc>
      </w:tr>
    </w:tbl>
    <w:p w:rsidR="00300144" w:rsidRDefault="00300144" w:rsidP="00300144"/>
    <w:p w:rsidR="00300144" w:rsidRPr="00300144" w:rsidRDefault="00300144" w:rsidP="00300144">
      <w:pPr>
        <w:rPr>
          <w:color w:val="4CB2B3" w:themeColor="accent4"/>
        </w:rPr>
      </w:pPr>
      <w:r w:rsidRPr="00300144">
        <w:rPr>
          <w:color w:val="4CB2B3" w:themeColor="accent4"/>
        </w:rPr>
        <w:lastRenderedPageBreak/>
        <w:t>[Insert hyperlinks to documents which support these claims]</w:t>
      </w:r>
    </w:p>
    <w:p w:rsidR="00300144" w:rsidRDefault="00300144" w:rsidP="00300144"/>
    <w:p w:rsidR="00300144" w:rsidRDefault="00300144" w:rsidP="00300144">
      <w:pPr>
        <w:pBdr>
          <w:top w:val="single" w:sz="4" w:space="1" w:color="auto"/>
          <w:bottom w:val="single" w:sz="4" w:space="1" w:color="auto"/>
        </w:pBdr>
        <w:shd w:val="clear" w:color="auto" w:fill="2C3034" w:themeFill="text1"/>
      </w:pPr>
      <w:r>
        <w:t>Therefore, as demonstrated in section 1.1, 1.2 and 1.3</w:t>
      </w:r>
      <w:r w:rsidRPr="00782A11">
        <w:t>,</w:t>
      </w:r>
      <w:r w:rsidRPr="00C90EC3">
        <w:t xml:space="preserve"> </w:t>
      </w:r>
      <w:r w:rsidRPr="00AF52E9">
        <w:t xml:space="preserve">this project is eligible to </w:t>
      </w:r>
      <w:r>
        <w:t xml:space="preserve">achieve </w:t>
      </w:r>
      <w:r w:rsidRPr="00300144">
        <w:rPr>
          <w:color w:val="4CB2B3" w:themeColor="accent4"/>
        </w:rPr>
        <w:t>[1 or 2]</w:t>
      </w:r>
      <w:r>
        <w:t xml:space="preserve"> point/s </w:t>
      </w:r>
      <w:r w:rsidRPr="00597624">
        <w:t xml:space="preserve">for </w:t>
      </w:r>
      <w:r>
        <w:t>demonstrating a high level of thermal performance.</w:t>
      </w:r>
    </w:p>
    <w:p w:rsidR="00300144" w:rsidRDefault="00300144" w:rsidP="00300144">
      <w:pPr>
        <w:pStyle w:val="GBCAHeading4"/>
      </w:pPr>
    </w:p>
    <w:p w:rsidR="00EE14B3" w:rsidRPr="0035552E" w:rsidRDefault="00EE14B3" w:rsidP="00300144">
      <w:pPr>
        <w:pStyle w:val="Tabletitle"/>
      </w:pPr>
      <w:r w:rsidRPr="0035552E">
        <w:t>Discussion</w:t>
      </w:r>
    </w:p>
    <w:p w:rsidR="00EE14B3" w:rsidRDefault="00EE14B3" w:rsidP="00EE14B3">
      <w:pPr>
        <w:pStyle w:val="Bluetext"/>
      </w:pPr>
      <w:r w:rsidRPr="00391850">
        <w:t>[Insert any issues you would like to highlight and clarify to the Assessment Panel.]</w:t>
      </w:r>
    </w:p>
    <w:p w:rsidR="00EE14B3" w:rsidRDefault="00EE14B3" w:rsidP="00EE14B3"/>
    <w:p w:rsidR="00EE14B3" w:rsidRPr="0035552E" w:rsidRDefault="00EE14B3" w:rsidP="00EE14B3">
      <w:r>
        <w:t xml:space="preserve">Author Details: </w:t>
      </w:r>
    </w:p>
    <w:p w:rsidR="00EE14B3" w:rsidRPr="0023233C" w:rsidRDefault="00EE14B3" w:rsidP="00EE14B3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31296DF3A89343428BDEEC35E8399551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EE14B3" w:rsidRPr="0023233C" w:rsidRDefault="00EE14B3" w:rsidP="00EE14B3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EE14B3" w:rsidRDefault="00EE14B3" w:rsidP="00EE14B3">
      <w:pPr>
        <w:rPr>
          <w:rFonts w:eastAsiaTheme="majorEastAsia"/>
        </w:rPr>
      </w:pPr>
    </w:p>
    <w:p w:rsidR="00EE14B3" w:rsidRDefault="00EE14B3" w:rsidP="00EE14B3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EE14B3" w:rsidRPr="0035552E" w:rsidRDefault="00EE14B3" w:rsidP="00EE14B3"/>
    <w:p w:rsidR="00EE14B3" w:rsidRDefault="00EE14B3" w:rsidP="00EE14B3"/>
    <w:p w:rsidR="008A3A0F" w:rsidRDefault="008A3A0F"/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79" w:rsidRDefault="000C1579" w:rsidP="00460249">
      <w:r>
        <w:separator/>
      </w:r>
    </w:p>
  </w:endnote>
  <w:endnote w:type="continuationSeparator" w:id="1">
    <w:p w:rsidR="000C1579" w:rsidRDefault="000C1579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Pr="00B85A44" w:rsidRDefault="003E4E62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0C1579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D854AD">
          <w:rPr>
            <w:b/>
            <w:noProof/>
          </w:rPr>
          <w:t>1</w:t>
        </w:r>
        <w:r w:rsidRPr="001133B3">
          <w:rPr>
            <w:b/>
          </w:rPr>
          <w:fldChar w:fldCharType="end"/>
        </w:r>
      </w:sdtContent>
    </w:sdt>
    <w:r w:rsidR="000C1579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79" w:rsidRDefault="000C1579" w:rsidP="00460249">
      <w:r>
        <w:separator/>
      </w:r>
    </w:p>
  </w:footnote>
  <w:footnote w:type="continuationSeparator" w:id="1">
    <w:p w:rsidR="000C1579" w:rsidRDefault="000C1579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9" w:rsidRDefault="000C1579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0C1579" w:rsidRPr="00B85A44" w:rsidRDefault="000C1579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0C1579" w:rsidRPr="000650AC" w:rsidRDefault="000C1579" w:rsidP="00B85A44">
    <w:pPr>
      <w:pStyle w:val="Header"/>
      <w:rPr>
        <w:rFonts w:cs="Arial"/>
        <w:color w:val="00B0F0"/>
        <w:szCs w:val="18"/>
      </w:rPr>
    </w:pPr>
  </w:p>
  <w:p w:rsidR="000C1579" w:rsidRDefault="000C1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64965CF"/>
    <w:multiLevelType w:val="multilevel"/>
    <w:tmpl w:val="FFBA1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D7D5F"/>
    <w:multiLevelType w:val="multilevel"/>
    <w:tmpl w:val="0BA8A5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23"/>
  </w:num>
  <w:num w:numId="16">
    <w:abstractNumId w:val="15"/>
  </w:num>
  <w:num w:numId="17">
    <w:abstractNumId w:val="19"/>
  </w:num>
  <w:num w:numId="18">
    <w:abstractNumId w:val="20"/>
  </w:num>
  <w:num w:numId="19">
    <w:abstractNumId w:val="2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2">
    <w:abstractNumId w:val="16"/>
  </w:num>
  <w:num w:numId="23">
    <w:abstractNumId w:val="13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47105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14495"/>
    <w:rsid w:val="00025CB7"/>
    <w:rsid w:val="000650AC"/>
    <w:rsid w:val="0008070C"/>
    <w:rsid w:val="000C1579"/>
    <w:rsid w:val="001047CC"/>
    <w:rsid w:val="00107548"/>
    <w:rsid w:val="001A6222"/>
    <w:rsid w:val="0022008D"/>
    <w:rsid w:val="00225AD0"/>
    <w:rsid w:val="0023484F"/>
    <w:rsid w:val="00241264"/>
    <w:rsid w:val="00252745"/>
    <w:rsid w:val="002B4B9A"/>
    <w:rsid w:val="002D74EF"/>
    <w:rsid w:val="00300144"/>
    <w:rsid w:val="00320CBC"/>
    <w:rsid w:val="00320EF8"/>
    <w:rsid w:val="00396CD6"/>
    <w:rsid w:val="003B2B2C"/>
    <w:rsid w:val="003C2E11"/>
    <w:rsid w:val="003E4E62"/>
    <w:rsid w:val="003E7E12"/>
    <w:rsid w:val="00414958"/>
    <w:rsid w:val="00420C67"/>
    <w:rsid w:val="00455F5F"/>
    <w:rsid w:val="00460249"/>
    <w:rsid w:val="004A5A48"/>
    <w:rsid w:val="004A750A"/>
    <w:rsid w:val="004F58D9"/>
    <w:rsid w:val="0051588D"/>
    <w:rsid w:val="00551E11"/>
    <w:rsid w:val="00584F37"/>
    <w:rsid w:val="00593639"/>
    <w:rsid w:val="006B2171"/>
    <w:rsid w:val="006C0BBD"/>
    <w:rsid w:val="0070092B"/>
    <w:rsid w:val="007A1367"/>
    <w:rsid w:val="007C68AD"/>
    <w:rsid w:val="008410D5"/>
    <w:rsid w:val="008543E7"/>
    <w:rsid w:val="00873478"/>
    <w:rsid w:val="008A3A0F"/>
    <w:rsid w:val="008B34A2"/>
    <w:rsid w:val="008B435B"/>
    <w:rsid w:val="008B64BF"/>
    <w:rsid w:val="00916944"/>
    <w:rsid w:val="00940347"/>
    <w:rsid w:val="00954CBF"/>
    <w:rsid w:val="009D6727"/>
    <w:rsid w:val="00A04A3B"/>
    <w:rsid w:val="00A15F2F"/>
    <w:rsid w:val="00AB1711"/>
    <w:rsid w:val="00AB7F1D"/>
    <w:rsid w:val="00AC4B8C"/>
    <w:rsid w:val="00AD0275"/>
    <w:rsid w:val="00B32095"/>
    <w:rsid w:val="00B33C5F"/>
    <w:rsid w:val="00B353E4"/>
    <w:rsid w:val="00B54E07"/>
    <w:rsid w:val="00B85A44"/>
    <w:rsid w:val="00BB6B53"/>
    <w:rsid w:val="00BC42CD"/>
    <w:rsid w:val="00BE2DB1"/>
    <w:rsid w:val="00C1485E"/>
    <w:rsid w:val="00C21028"/>
    <w:rsid w:val="00C54859"/>
    <w:rsid w:val="00C840F3"/>
    <w:rsid w:val="00CC19D8"/>
    <w:rsid w:val="00CD1831"/>
    <w:rsid w:val="00D019EC"/>
    <w:rsid w:val="00D50053"/>
    <w:rsid w:val="00D854AD"/>
    <w:rsid w:val="00D95CBE"/>
    <w:rsid w:val="00DA6205"/>
    <w:rsid w:val="00E05A87"/>
    <w:rsid w:val="00E323FA"/>
    <w:rsid w:val="00E407C8"/>
    <w:rsid w:val="00E42DD8"/>
    <w:rsid w:val="00E47464"/>
    <w:rsid w:val="00EB15C3"/>
    <w:rsid w:val="00ED51D6"/>
    <w:rsid w:val="00EE14B3"/>
    <w:rsid w:val="00F00E31"/>
    <w:rsid w:val="00F05524"/>
    <w:rsid w:val="00F713F5"/>
    <w:rsid w:val="00F770C0"/>
    <w:rsid w:val="00F962E9"/>
    <w:rsid w:val="00F96995"/>
    <w:rsid w:val="00FB73A1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D854AD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C840F3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C840F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C840F3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C840F3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840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854A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54AD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C840F3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C840F3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C840F3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C840F3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C840F3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C840F3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C840F3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C840F3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40F3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0F3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C840F3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C840F3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C840F3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C840F3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C840F3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C840F3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C840F3"/>
  </w:style>
  <w:style w:type="paragraph" w:customStyle="1" w:styleId="BodyofTextBulletpoint3rdlevel">
    <w:name w:val="Body of Text – Bullet point (3rd level)"/>
    <w:basedOn w:val="BodyoftextBulletPoint"/>
    <w:qFormat/>
    <w:rsid w:val="00C840F3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C840F3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C840F3"/>
  </w:style>
  <w:style w:type="character" w:customStyle="1" w:styleId="Documenttextunderlined">
    <w:name w:val="Document text underlined"/>
    <w:basedOn w:val="DefaultParagraphFont"/>
    <w:uiPriority w:val="1"/>
    <w:qFormat/>
    <w:rsid w:val="00C840F3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C840F3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C840F3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C840F3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C840F3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C840F3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C840F3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C840F3"/>
    <w:rPr>
      <w:b/>
    </w:rPr>
  </w:style>
  <w:style w:type="character" w:customStyle="1" w:styleId="Dateissued">
    <w:name w:val="Date issued"/>
    <w:basedOn w:val="DefaultParagraphFont"/>
    <w:uiPriority w:val="1"/>
    <w:qFormat/>
    <w:rsid w:val="00C840F3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C840F3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C840F3"/>
    <w:pPr>
      <w:numPr>
        <w:numId w:val="21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C840F3"/>
    <w:pPr>
      <w:numPr>
        <w:numId w:val="1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C840F3"/>
  </w:style>
  <w:style w:type="paragraph" w:customStyle="1" w:styleId="HeadingSimilarStyle">
    <w:name w:val="Heading Similar Style"/>
    <w:basedOn w:val="Normal"/>
    <w:link w:val="HeadingSimilarStyleChar"/>
    <w:qFormat/>
    <w:rsid w:val="00C840F3"/>
    <w:pPr>
      <w:numPr>
        <w:ilvl w:val="1"/>
        <w:numId w:val="2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C840F3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F00E31"/>
    <w:pPr>
      <w:spacing w:line="240" w:lineRule="auto"/>
    </w:pPr>
    <w:rPr>
      <w:b/>
      <w:bCs/>
      <w:color w:val="84C447" w:themeColor="accent1"/>
      <w:sz w:val="18"/>
      <w:szCs w:val="18"/>
    </w:rPr>
  </w:style>
  <w:style w:type="paragraph" w:customStyle="1" w:styleId="GBCAHeading4ListNumberLevel2">
    <w:name w:val="GBCA Heading 4 (List Number Level 2)"/>
    <w:basedOn w:val="Heading4"/>
    <w:rsid w:val="00F713F5"/>
    <w:pPr>
      <w:keepNext w:val="0"/>
      <w:keepLines w:val="0"/>
      <w:spacing w:before="120" w:line="240" w:lineRule="auto"/>
      <w:ind w:left="360" w:hanging="360"/>
    </w:pPr>
    <w:rPr>
      <w:rFonts w:eastAsia="Times New Roman" w:cs="Times New Roman"/>
      <w:bCs w:val="0"/>
      <w:iCs w:val="0"/>
      <w:caps/>
      <w:color w:val="00B3F0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296DF3A89343428BDEEC35E839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6DAF-6F69-4212-B9F7-16AED71C4B06}"/>
      </w:docPartPr>
      <w:docPartBody>
        <w:p w:rsidR="00F05FFF" w:rsidRDefault="00F05FFF" w:rsidP="00F05FFF">
          <w:pPr>
            <w:pStyle w:val="31296DF3A89343428BDEEC35E8399551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090664"/>
    <w:rsid w:val="00104B2E"/>
    <w:rsid w:val="00267020"/>
    <w:rsid w:val="00367370"/>
    <w:rsid w:val="00552614"/>
    <w:rsid w:val="00560C7B"/>
    <w:rsid w:val="005E3B34"/>
    <w:rsid w:val="00625C95"/>
    <w:rsid w:val="00643ED5"/>
    <w:rsid w:val="00677127"/>
    <w:rsid w:val="006D3BC0"/>
    <w:rsid w:val="009F349B"/>
    <w:rsid w:val="00A02461"/>
    <w:rsid w:val="00AF4D68"/>
    <w:rsid w:val="00B220FA"/>
    <w:rsid w:val="00B8136E"/>
    <w:rsid w:val="00B91AB4"/>
    <w:rsid w:val="00BA4F22"/>
    <w:rsid w:val="00C377D0"/>
    <w:rsid w:val="00DF06EB"/>
    <w:rsid w:val="00EE5FE5"/>
    <w:rsid w:val="00F0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FFF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73473E13FD0F49A5A20B35A7EAB4AFC2">
    <w:name w:val="73473E13FD0F49A5A20B35A7EAB4AFC2"/>
    <w:rsid w:val="00F05FFF"/>
  </w:style>
  <w:style w:type="paragraph" w:customStyle="1" w:styleId="31296DF3A89343428BDEEC35E8399551">
    <w:name w:val="31296DF3A89343428BDEEC35E8399551"/>
    <w:rsid w:val="00F05F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7F9A8-338C-4456-B7C2-C5C8D7EE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4</cp:revision>
  <dcterms:created xsi:type="dcterms:W3CDTF">2013-10-28T00:10:00Z</dcterms:created>
  <dcterms:modified xsi:type="dcterms:W3CDTF">2013-11-04T04:47:00Z</dcterms:modified>
</cp:coreProperties>
</file>