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496469" w:rsidP="00F713F5">
      <w:pPr>
        <w:pStyle w:val="Heading1"/>
      </w:pPr>
      <w:bookmarkStart w:id="0" w:name="_Toc94610314"/>
      <w:bookmarkStart w:id="1" w:name="_Toc98301847"/>
      <w:r w:rsidRPr="007147F9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0C1579" w:rsidRPr="00FD57F2" w:rsidRDefault="000C1579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7147F9">
        <w:rPr>
          <w:rStyle w:val="DocumentTextGreenBold"/>
        </w:rPr>
        <w:t xml:space="preserve">Green Star </w:t>
      </w:r>
      <w:r w:rsidR="00F713F5" w:rsidRPr="007147F9">
        <w:rPr>
          <w:rStyle w:val="DocumentTextGreenBold"/>
        </w:rPr>
        <w:br/>
        <w:t>Short Report</w:t>
      </w:r>
      <w:r w:rsidR="00F713F5" w:rsidRPr="007147F9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8306C4">
        <w:t>IEQ-7 Electric Lighting Levels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F713F5">
        <w:rPr>
          <w:rFonts w:eastAsia="Calibri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="008306C4">
        <w:rPr>
          <w:rStyle w:val="Heading3Char"/>
          <w:rFonts w:eastAsia="Calibri"/>
          <w:color w:val="4CB2B3" w:themeColor="accent4"/>
        </w:rPr>
        <w:t>[1</w:t>
      </w:r>
      <w:r w:rsidRPr="00F713F5">
        <w:rPr>
          <w:rStyle w:val="Heading3Char"/>
          <w:rFonts w:eastAsia="Calibri"/>
          <w:color w:val="4CB2B3" w:themeColor="accent4"/>
        </w:rPr>
        <w:t>]</w:t>
      </w:r>
    </w:p>
    <w:bookmarkEnd w:id="0"/>
    <w:bookmarkEnd w:id="1"/>
    <w:p w:rsidR="00F67A88" w:rsidRPr="00CC68E4" w:rsidRDefault="00F67A88" w:rsidP="00F67A88">
      <w:pPr>
        <w:pStyle w:val="Numberedheading"/>
      </w:pPr>
      <w:r>
        <w:t xml:space="preserve">Credit Compliance </w:t>
      </w:r>
    </w:p>
    <w:p w:rsidR="00F67A88" w:rsidRPr="005A055E" w:rsidRDefault="00F67A88" w:rsidP="00F67A88">
      <w:r>
        <w:t xml:space="preserve">The project has demonstrated through </w:t>
      </w:r>
      <w:r w:rsidRPr="00F67A88">
        <w:rPr>
          <w:color w:val="4CB2B3" w:themeColor="accent4"/>
        </w:rPr>
        <w:t>[direct lux measurements  OR calculations]</w:t>
      </w:r>
      <w:r w:rsidRPr="00CC68E4">
        <w:rPr>
          <w:color w:val="2F333B" w:themeColor="accent3" w:themeShade="BF"/>
        </w:rPr>
        <w:t xml:space="preserve"> </w:t>
      </w:r>
      <w:r>
        <w:t xml:space="preserve">that office lighting design has a maintained illuminance level of no more that 400 Lux for </w:t>
      </w:r>
      <w:r w:rsidRPr="00CC68E4">
        <w:rPr>
          <w:color w:val="2F333B" w:themeColor="accent3" w:themeShade="BF"/>
        </w:rPr>
        <w:t>[95%]</w:t>
      </w:r>
      <w:r>
        <w:t xml:space="preserve">of the Class 5 Commercial Office NLA as measured at the working plane (720mm AFFL). </w:t>
      </w:r>
    </w:p>
    <w:p w:rsidR="00F67A88" w:rsidRDefault="00F67A88" w:rsidP="00F67A88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949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4394"/>
        <w:gridCol w:w="1734"/>
        <w:gridCol w:w="1951"/>
      </w:tblGrid>
      <w:tr w:rsidR="00F67A88" w:rsidTr="00A610C6">
        <w:trPr>
          <w:cnfStyle w:val="100000000000"/>
        </w:trPr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 w:rsidRPr="00F67A88">
              <w:rPr>
                <w:sz w:val="22"/>
              </w:rPr>
              <w:t>Space/floor</w:t>
            </w: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</w:rPr>
            </w:pPr>
            <w:r w:rsidRPr="00F67A88">
              <w:rPr>
                <w:sz w:val="22"/>
              </w:rPr>
              <w:t>Typical Lighting Layout Description</w:t>
            </w: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</w:rPr>
            </w:pPr>
            <w:r w:rsidRPr="00F67A88">
              <w:rPr>
                <w:sz w:val="22"/>
              </w:rPr>
              <w:t>Class 5 NLA</w:t>
            </w: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cnfStyle w:val="100000000000"/>
              <w:rPr>
                <w:b w:val="0"/>
                <w:sz w:val="22"/>
              </w:rPr>
            </w:pPr>
            <w:r w:rsidRPr="00F67A88">
              <w:rPr>
                <w:sz w:val="22"/>
              </w:rPr>
              <w:t>Compliant Class 5 NLA (m</w:t>
            </w:r>
            <w:r w:rsidRPr="00F67A88">
              <w:rPr>
                <w:sz w:val="22"/>
                <w:vertAlign w:val="superscript"/>
              </w:rPr>
              <w:t>2</w:t>
            </w:r>
            <w:r w:rsidRPr="00F67A88">
              <w:rPr>
                <w:sz w:val="22"/>
              </w:rPr>
              <w:t>)</w:t>
            </w:r>
          </w:p>
        </w:tc>
      </w:tr>
      <w:tr w:rsidR="00F67A88" w:rsidTr="00A610C6">
        <w:trPr>
          <w:cnfStyle w:val="000000100000"/>
        </w:trPr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  <w:r w:rsidRPr="00F67A88">
              <w:rPr>
                <w:color w:val="4CB2B3" w:themeColor="accent4"/>
                <w:sz w:val="20"/>
              </w:rPr>
              <w:t>1</w:t>
            </w: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  <w:r w:rsidRPr="00F67A88">
              <w:rPr>
                <w:color w:val="4CB2B3" w:themeColor="accent4"/>
                <w:sz w:val="20"/>
              </w:rPr>
              <w:t>2</w:t>
            </w: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rPr>
          <w:cnfStyle w:val="000000100000"/>
        </w:trPr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  <w:r w:rsidRPr="00F67A88">
              <w:rPr>
                <w:color w:val="4CB2B3" w:themeColor="accent4"/>
                <w:sz w:val="20"/>
              </w:rPr>
              <w:t>3</w:t>
            </w: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rPr>
          <w:cnfStyle w:val="000000100000"/>
        </w:trPr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c>
          <w:tcPr>
            <w:cnfStyle w:val="001000000000"/>
            <w:tcW w:w="1412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F67A88" w:rsidTr="00A610C6">
        <w:trPr>
          <w:cnfStyle w:val="000000100000"/>
        </w:trPr>
        <w:tc>
          <w:tcPr>
            <w:cnfStyle w:val="001000000000"/>
            <w:tcW w:w="1412" w:type="dxa"/>
          </w:tcPr>
          <w:p w:rsid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</w:pPr>
            <w:r>
              <w:t>Totals</w:t>
            </w:r>
          </w:p>
        </w:tc>
        <w:tc>
          <w:tcPr>
            <w:tcW w:w="439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</w:tr>
      <w:tr w:rsidR="00F67A88" w:rsidTr="00A610C6">
        <w:tc>
          <w:tcPr>
            <w:cnfStyle w:val="001000000000"/>
            <w:tcW w:w="5806" w:type="dxa"/>
            <w:gridSpan w:val="2"/>
          </w:tcPr>
          <w:p w:rsidR="00F67A88" w:rsidRPr="00391850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rPr>
                <w:b w:val="0"/>
                <w:color w:val="3F454F" w:themeColor="accent3"/>
              </w:rPr>
            </w:pPr>
            <w:r>
              <w:t>Percentage of compliance Class 5 NLA</w:t>
            </w:r>
          </w:p>
        </w:tc>
        <w:tc>
          <w:tcPr>
            <w:tcW w:w="1734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1951" w:type="dxa"/>
          </w:tcPr>
          <w:p w:rsidR="00F67A88" w:rsidRPr="00F67A88" w:rsidRDefault="00F67A88" w:rsidP="00A610C6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b/>
                <w:color w:val="4CB2B3" w:themeColor="accent4"/>
                <w:sz w:val="20"/>
              </w:rPr>
            </w:pPr>
            <w:r w:rsidRPr="00F67A88">
              <w:rPr>
                <w:b/>
                <w:color w:val="4CB2B3" w:themeColor="accent4"/>
                <w:sz w:val="20"/>
              </w:rPr>
              <w:t>[%]</w:t>
            </w:r>
          </w:p>
        </w:tc>
      </w:tr>
    </w:tbl>
    <w:p w:rsidR="00F67A88" w:rsidRDefault="00F67A88" w:rsidP="00F67A88">
      <w:pPr>
        <w:jc w:val="both"/>
        <w:rPr>
          <w:color w:val="3F454F" w:themeColor="accent3"/>
        </w:rPr>
      </w:pPr>
    </w:p>
    <w:p w:rsidR="00F67A88" w:rsidRPr="00F67A88" w:rsidRDefault="00F67A88" w:rsidP="00F67A88">
      <w:pPr>
        <w:jc w:val="both"/>
        <w:rPr>
          <w:color w:val="4CB2B3" w:themeColor="accent4"/>
        </w:rPr>
      </w:pPr>
      <w:r w:rsidRPr="00F67A88">
        <w:rPr>
          <w:color w:val="4CB2B3" w:themeColor="accent4"/>
        </w:rPr>
        <w:t xml:space="preserve"> [Insert hyperlinks to documents which support these claims]</w:t>
      </w:r>
    </w:p>
    <w:p w:rsidR="00F67A88" w:rsidRDefault="00F67A88" w:rsidP="00F67A88">
      <w:pPr>
        <w:jc w:val="both"/>
        <w:rPr>
          <w:color w:val="2F333B" w:themeColor="accent3" w:themeShade="BF"/>
        </w:rPr>
      </w:pPr>
    </w:p>
    <w:p w:rsidR="00F67A88" w:rsidRPr="008E37F0" w:rsidRDefault="00F67A88" w:rsidP="00F67A88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  <w:jc w:val="both"/>
      </w:pPr>
      <w:r w:rsidRPr="008E37F0">
        <w:t xml:space="preserve">Therefore, as demonstrated in section 1, this project is eligible to achieve 1 point for </w:t>
      </w:r>
      <w:r>
        <w:t>providing office lighting that is not over designed</w:t>
      </w:r>
      <w:r w:rsidRPr="008E37F0">
        <w:t>.</w:t>
      </w:r>
    </w:p>
    <w:p w:rsidR="00F67A88" w:rsidRDefault="00F67A88" w:rsidP="00F67A88">
      <w:pPr>
        <w:rPr>
          <w:b/>
        </w:rPr>
      </w:pPr>
    </w:p>
    <w:p w:rsidR="00EE14B3" w:rsidRPr="0035552E" w:rsidRDefault="00EE14B3" w:rsidP="00EE14B3">
      <w:pPr>
        <w:pStyle w:val="Heading2"/>
      </w:pPr>
      <w:r w:rsidRPr="0035552E"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79" w:rsidRDefault="000C1579" w:rsidP="00460249">
      <w:r>
        <w:separator/>
      </w:r>
    </w:p>
  </w:endnote>
  <w:endnote w:type="continuationSeparator" w:id="1">
    <w:p w:rsidR="000C1579" w:rsidRDefault="000C1579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Pr="00B85A44" w:rsidRDefault="00496469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C157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7147F9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0C157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79" w:rsidRDefault="000C1579" w:rsidP="00460249">
      <w:r>
        <w:separator/>
      </w:r>
    </w:p>
  </w:footnote>
  <w:footnote w:type="continuationSeparator" w:id="1">
    <w:p w:rsidR="000C1579" w:rsidRDefault="000C1579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Default="000C1579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C1579" w:rsidRPr="00B85A44" w:rsidRDefault="000C1579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0C1579" w:rsidRPr="000650AC" w:rsidRDefault="000C1579" w:rsidP="00B85A44">
    <w:pPr>
      <w:pStyle w:val="Header"/>
      <w:rPr>
        <w:rFonts w:cs="Arial"/>
        <w:color w:val="00B0F0"/>
        <w:szCs w:val="18"/>
      </w:rPr>
    </w:pPr>
  </w:p>
  <w:p w:rsidR="000C1579" w:rsidRDefault="000C1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19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650AC"/>
    <w:rsid w:val="0008070C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B4B9A"/>
    <w:rsid w:val="002D74EF"/>
    <w:rsid w:val="00320CBC"/>
    <w:rsid w:val="00320EF8"/>
    <w:rsid w:val="00396CD6"/>
    <w:rsid w:val="003B2B2C"/>
    <w:rsid w:val="003C2E11"/>
    <w:rsid w:val="003E7E12"/>
    <w:rsid w:val="00414958"/>
    <w:rsid w:val="00420C67"/>
    <w:rsid w:val="00455F5F"/>
    <w:rsid w:val="00460249"/>
    <w:rsid w:val="00496469"/>
    <w:rsid w:val="004A5A48"/>
    <w:rsid w:val="004A750A"/>
    <w:rsid w:val="004F58D9"/>
    <w:rsid w:val="0051588D"/>
    <w:rsid w:val="00551E11"/>
    <w:rsid w:val="00584F37"/>
    <w:rsid w:val="00593639"/>
    <w:rsid w:val="006B2171"/>
    <w:rsid w:val="006C0BBD"/>
    <w:rsid w:val="0070092B"/>
    <w:rsid w:val="007147F9"/>
    <w:rsid w:val="007A1367"/>
    <w:rsid w:val="007C68AD"/>
    <w:rsid w:val="008306C4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A04A3B"/>
    <w:rsid w:val="00A15F2F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C19D8"/>
    <w:rsid w:val="00CD1831"/>
    <w:rsid w:val="00D019EC"/>
    <w:rsid w:val="00D072A5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56C37"/>
    <w:rsid w:val="00F67A88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7147F9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F56C37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F56C3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F56C3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F56C37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6C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147F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47F9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F56C37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F56C37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F56C37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F56C37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F56C37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F56C37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F56C37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F56C37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6C37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C37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F56C37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F56C37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F56C37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F56C37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F56C37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F56C37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F56C37"/>
  </w:style>
  <w:style w:type="paragraph" w:customStyle="1" w:styleId="BodyofTextBulletpoint3rdlevel">
    <w:name w:val="Body of Text – Bullet point (3rd level)"/>
    <w:basedOn w:val="BodyoftextBulletPoint"/>
    <w:qFormat/>
    <w:rsid w:val="00F56C37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F56C37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F56C37"/>
  </w:style>
  <w:style w:type="character" w:customStyle="1" w:styleId="Documenttextunderlined">
    <w:name w:val="Document text underlined"/>
    <w:basedOn w:val="DefaultParagraphFont"/>
    <w:uiPriority w:val="1"/>
    <w:qFormat/>
    <w:rsid w:val="00F56C37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F56C37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F56C37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F56C37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F56C37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F56C37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F56C37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F56C37"/>
    <w:rPr>
      <w:b/>
    </w:rPr>
  </w:style>
  <w:style w:type="character" w:customStyle="1" w:styleId="Dateissued">
    <w:name w:val="Date issued"/>
    <w:basedOn w:val="DefaultParagraphFont"/>
    <w:uiPriority w:val="1"/>
    <w:qFormat/>
    <w:rsid w:val="00F56C37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F56C37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F56C37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F56C37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F56C37"/>
  </w:style>
  <w:style w:type="paragraph" w:customStyle="1" w:styleId="HeadingSimilarStyle">
    <w:name w:val="Heading Similar Style"/>
    <w:basedOn w:val="Normal"/>
    <w:link w:val="HeadingSimilarStyleChar"/>
    <w:qFormat/>
    <w:rsid w:val="00F56C37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F56C37"/>
    <w:rPr>
      <w:b/>
      <w:color w:val="00B3F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67370"/>
    <w:rsid w:val="00552614"/>
    <w:rsid w:val="00560C7B"/>
    <w:rsid w:val="005E3B34"/>
    <w:rsid w:val="00625C95"/>
    <w:rsid w:val="00677127"/>
    <w:rsid w:val="008E1ABC"/>
    <w:rsid w:val="009F349B"/>
    <w:rsid w:val="00A02461"/>
    <w:rsid w:val="00AF4D68"/>
    <w:rsid w:val="00B220FA"/>
    <w:rsid w:val="00B8136E"/>
    <w:rsid w:val="00B91AB4"/>
    <w:rsid w:val="00BA4F22"/>
    <w:rsid w:val="00BA57BF"/>
    <w:rsid w:val="00C377D0"/>
    <w:rsid w:val="00DF06EB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516A1-BAFF-4FB1-89E7-433B326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2013-10-27T23:39:00Z</dcterms:created>
  <dcterms:modified xsi:type="dcterms:W3CDTF">2013-11-04T04:12:00Z</dcterms:modified>
</cp:coreProperties>
</file>