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F5" w:rsidRPr="0035552E" w:rsidRDefault="0012401E" w:rsidP="00F713F5">
      <w:pPr>
        <w:pStyle w:val="Heading1"/>
      </w:pPr>
      <w:bookmarkStart w:id="0" w:name="_Toc94610314"/>
      <w:bookmarkStart w:id="1" w:name="_Toc98301847"/>
      <w:r w:rsidRPr="0053145B">
        <w:rPr>
          <w:rStyle w:val="DocumentTextGreenBold"/>
        </w:rPr>
        <w:pict>
          <v:roundrect id="_x0000_s1030" style="position:absolute;margin-left:243.05pt;margin-top:4.2pt;width:296.15pt;height:49.9pt;z-index:251658240;mso-position-horizontal-relative:margin;mso-width-relative:margin;mso-height-relative:margin" arcsize="10923f" fillcolor="#2c3034 [3213]" strokecolor="#3f454f [3206]">
            <v:textbox style="mso-next-textbox:#_x0000_s1030">
              <w:txbxContent>
                <w:p w:rsidR="000C1579" w:rsidRPr="00FD57F2" w:rsidRDefault="000C1579" w:rsidP="00F713F5">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F713F5" w:rsidRPr="0053145B">
        <w:rPr>
          <w:rStyle w:val="DocumentTextGreenBold"/>
        </w:rPr>
        <w:t xml:space="preserve">Green Star </w:t>
      </w:r>
      <w:r w:rsidR="00F713F5" w:rsidRPr="0053145B">
        <w:rPr>
          <w:rStyle w:val="DocumentTextGreenBold"/>
        </w:rPr>
        <w:br/>
        <w:t>Short Report</w:t>
      </w:r>
      <w:r w:rsidR="00F713F5" w:rsidRPr="0053145B">
        <w:rPr>
          <w:rStyle w:val="DocumentTextGreenBold"/>
        </w:rPr>
        <w:br/>
        <w:t>Round</w:t>
      </w:r>
      <w:r w:rsidR="00F713F5" w:rsidRPr="0035552E">
        <w:t xml:space="preserve"> </w:t>
      </w:r>
      <w:r w:rsidR="00F713F5" w:rsidRPr="00F713F5">
        <w:rPr>
          <w:color w:val="4CB2B3" w:themeColor="accent4"/>
        </w:rPr>
        <w:t>[1/2]</w:t>
      </w:r>
    </w:p>
    <w:p w:rsidR="00F713F5" w:rsidRPr="00F713F5" w:rsidRDefault="00F713F5" w:rsidP="00F713F5">
      <w:pPr>
        <w:pStyle w:val="BodyText2"/>
      </w:pPr>
      <w:r w:rsidRPr="00F713F5">
        <w:t xml:space="preserve">Green Star – Office Design v3 </w:t>
      </w:r>
    </w:p>
    <w:p w:rsidR="00F713F5" w:rsidRPr="00F713F5" w:rsidRDefault="00F713F5" w:rsidP="00F713F5">
      <w:pPr>
        <w:pStyle w:val="BodyText2"/>
      </w:pPr>
      <w:r w:rsidRPr="00F713F5">
        <w:t xml:space="preserve">Credit: </w:t>
      </w:r>
      <w:r w:rsidR="00161D8B">
        <w:t>IEQ-14 Formaldehyde Minimisation</w:t>
      </w:r>
      <w:r w:rsidRPr="00F713F5">
        <w:t xml:space="preserve"> </w:t>
      </w:r>
    </w:p>
    <w:p w:rsidR="00F713F5" w:rsidRPr="00F403F0" w:rsidRDefault="00F713F5" w:rsidP="00F713F5">
      <w:pPr>
        <w:pStyle w:val="BodyText2"/>
        <w:rPr>
          <w:b w:val="0"/>
        </w:rPr>
      </w:pPr>
      <w:r w:rsidRPr="00F713F5">
        <w:t>Project Name:</w:t>
      </w:r>
      <w:r w:rsidRPr="00F403F0">
        <w:rPr>
          <w:b w:val="0"/>
        </w:rPr>
        <w:t xml:space="preserve"> </w:t>
      </w:r>
      <w:r w:rsidRPr="00F713F5">
        <w:rPr>
          <w:b w:val="0"/>
          <w:color w:val="4CB2B3" w:themeColor="accent4"/>
        </w:rPr>
        <w:t>[name]</w:t>
      </w:r>
    </w:p>
    <w:p w:rsidR="00F713F5" w:rsidRPr="00F403F0" w:rsidRDefault="00F713F5" w:rsidP="00F713F5">
      <w:pPr>
        <w:pStyle w:val="BodyText2"/>
        <w:rPr>
          <w:b w:val="0"/>
        </w:rPr>
      </w:pPr>
      <w:r w:rsidRPr="00F713F5">
        <w:t>Project Number: GS</w:t>
      </w:r>
      <w:r w:rsidRPr="00F403F0">
        <w:rPr>
          <w:b w:val="0"/>
        </w:rPr>
        <w:t>-</w:t>
      </w:r>
      <w:r w:rsidRPr="00F713F5">
        <w:rPr>
          <w:b w:val="0"/>
          <w:color w:val="4CB2B3" w:themeColor="accent4"/>
        </w:rPr>
        <w:t>[####]</w:t>
      </w:r>
    </w:p>
    <w:p w:rsidR="00F713F5" w:rsidRPr="004F5B31" w:rsidRDefault="00F713F5" w:rsidP="00F713F5">
      <w:pPr>
        <w:pStyle w:val="BodyText2"/>
      </w:pPr>
      <w:r w:rsidRPr="00F403F0">
        <w:rPr>
          <w:rStyle w:val="Heading3Char"/>
          <w:rFonts w:eastAsia="Calibri"/>
        </w:rPr>
        <w:t>Points available</w:t>
      </w:r>
      <w:r w:rsidRPr="00F403F0">
        <w:rPr>
          <w:rFonts w:eastAsia="Calibri"/>
          <w:b w:val="0"/>
        </w:rPr>
        <w:t xml:space="preserve">: </w:t>
      </w:r>
      <w:r w:rsidRPr="00F403F0">
        <w:rPr>
          <w:rFonts w:eastAsia="Calibri"/>
          <w:b w:val="0"/>
        </w:rPr>
        <w:tab/>
      </w:r>
      <w:r w:rsidRPr="00F713F5">
        <w:rPr>
          <w:rFonts w:eastAsia="Calibri"/>
        </w:rPr>
        <w:t>1</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Style w:val="Heading3Char"/>
          <w:rFonts w:eastAsia="Calibri"/>
        </w:rPr>
        <w:t xml:space="preserve">Points claimed: </w:t>
      </w:r>
      <w:r w:rsidRPr="00F713F5">
        <w:rPr>
          <w:rStyle w:val="Heading3Char"/>
          <w:rFonts w:eastAsia="Calibri"/>
          <w:color w:val="4CB2B3" w:themeColor="accent4"/>
        </w:rPr>
        <w:t>[1, N/A]</w:t>
      </w:r>
    </w:p>
    <w:bookmarkEnd w:id="0"/>
    <w:bookmarkEnd w:id="1"/>
    <w:p w:rsidR="00EE14B3" w:rsidRDefault="00EE14B3" w:rsidP="00EE14B3">
      <w:pPr>
        <w:pStyle w:val="Numberedheading"/>
        <w:numPr>
          <w:ilvl w:val="0"/>
          <w:numId w:val="18"/>
        </w:numPr>
      </w:pPr>
      <w:r>
        <w:t xml:space="preserve">Credit Compliance </w:t>
      </w:r>
    </w:p>
    <w:p w:rsidR="00161D8B" w:rsidRPr="00161D8B" w:rsidRDefault="00EE14B3" w:rsidP="00161D8B">
      <w:pPr>
        <w:jc w:val="both"/>
        <w:rPr>
          <w:color w:val="8DC63F" w:themeColor="text2"/>
        </w:rPr>
      </w:pPr>
      <w:r>
        <w:t>The following chapters of this template are relevant f</w:t>
      </w:r>
      <w:r w:rsidRPr="00890809">
        <w:t>or projects targeting points for this credit:</w:t>
      </w:r>
      <w:r>
        <w:br/>
      </w:r>
    </w:p>
    <w:p w:rsidR="00161D8B" w:rsidRPr="00161D8B" w:rsidRDefault="00161D8B" w:rsidP="00161D8B">
      <w:pPr>
        <w:rPr>
          <w:b/>
          <w:color w:val="8DC63F" w:themeColor="text2"/>
        </w:rPr>
      </w:pPr>
      <w:r w:rsidRPr="00161D8B">
        <w:rPr>
          <w:b/>
          <w:color w:val="8DC63F" w:themeColor="text2"/>
        </w:rPr>
        <w:t>1.1</w:t>
      </w:r>
      <w:r w:rsidRPr="00161D8B">
        <w:rPr>
          <w:b/>
          <w:color w:val="8DC63F" w:themeColor="text2"/>
        </w:rPr>
        <w:tab/>
        <w:t>Engineered wood used on project</w:t>
      </w:r>
    </w:p>
    <w:p w:rsidR="00161D8B" w:rsidRDefault="00161D8B" w:rsidP="00161D8B">
      <w:pPr>
        <w:jc w:val="both"/>
        <w:rPr>
          <w:color w:val="3F454F" w:themeColor="accent3"/>
        </w:rPr>
      </w:pPr>
      <w:r>
        <w:t xml:space="preserve">The project has specified the use of engineered wood products (which include particleboard, plywood, MDF, veneer and decorative overlaid wood panels). </w:t>
      </w:r>
      <w:r w:rsidRPr="00161D8B">
        <w:rPr>
          <w:color w:val="4CB2B3" w:themeColor="accent4"/>
        </w:rPr>
        <w:t>[95%]</w:t>
      </w:r>
      <w:r>
        <w:t xml:space="preserve"> of all engineered wood products specified on the project </w:t>
      </w:r>
      <w:r w:rsidRPr="00161D8B">
        <w:rPr>
          <w:color w:val="4CB2B3" w:themeColor="accent4"/>
        </w:rPr>
        <w:t>[contain no formaldehyde / are low-formaldehyde thereby meeting the acceptable emission limits as outlined by table IEQ-14.1.  The emission levels have been established by a NATA or ISO/IEC 17025 registered laboratory per the testing methodologies listed in Table IEQ-14.1].</w:t>
      </w:r>
      <w:r>
        <w:t xml:space="preserve">  Table 1.1 provides a summary of engineered wood products specified on the project.</w:t>
      </w:r>
    </w:p>
    <w:p w:rsidR="00161D8B" w:rsidRDefault="00161D8B" w:rsidP="00161D8B">
      <w:pPr>
        <w:jc w:val="both"/>
      </w:pPr>
    </w:p>
    <w:p w:rsidR="00161D8B" w:rsidRPr="00161D8B" w:rsidRDefault="00161D8B" w:rsidP="00161D8B">
      <w:pPr>
        <w:pStyle w:val="Caption"/>
        <w:rPr>
          <w:sz w:val="20"/>
          <w:szCs w:val="22"/>
        </w:rPr>
      </w:pPr>
      <w:r w:rsidRPr="00161D8B">
        <w:rPr>
          <w:sz w:val="20"/>
          <w:szCs w:val="22"/>
        </w:rPr>
        <w:t xml:space="preserve">Table </w:t>
      </w:r>
      <w:r w:rsidR="0012401E" w:rsidRPr="00161D8B">
        <w:rPr>
          <w:sz w:val="20"/>
          <w:szCs w:val="22"/>
        </w:rPr>
        <w:fldChar w:fldCharType="begin"/>
      </w:r>
      <w:r w:rsidRPr="00161D8B">
        <w:rPr>
          <w:sz w:val="20"/>
          <w:szCs w:val="22"/>
        </w:rPr>
        <w:instrText xml:space="preserve"> SEQ Table \* ARABIC </w:instrText>
      </w:r>
      <w:r w:rsidR="0012401E" w:rsidRPr="00161D8B">
        <w:rPr>
          <w:sz w:val="20"/>
          <w:szCs w:val="22"/>
        </w:rPr>
        <w:fldChar w:fldCharType="separate"/>
      </w:r>
      <w:r w:rsidRPr="00161D8B">
        <w:rPr>
          <w:noProof/>
          <w:sz w:val="20"/>
          <w:szCs w:val="22"/>
        </w:rPr>
        <w:t>1</w:t>
      </w:r>
      <w:r w:rsidR="0012401E" w:rsidRPr="00161D8B">
        <w:rPr>
          <w:sz w:val="20"/>
          <w:szCs w:val="22"/>
        </w:rPr>
        <w:fldChar w:fldCharType="end"/>
      </w:r>
      <w:r w:rsidRPr="00161D8B">
        <w:rPr>
          <w:sz w:val="20"/>
          <w:szCs w:val="22"/>
        </w:rPr>
        <w:t>.1 Credit compliance summary table: Project engineered wood</w:t>
      </w:r>
    </w:p>
    <w:tbl>
      <w:tblPr>
        <w:tblStyle w:val="TableGrid"/>
        <w:tblW w:w="0" w:type="auto"/>
        <w:tblLook w:val="04A0"/>
      </w:tblPr>
      <w:tblGrid>
        <w:gridCol w:w="1910"/>
        <w:gridCol w:w="1668"/>
        <w:gridCol w:w="1643"/>
        <w:gridCol w:w="1863"/>
        <w:gridCol w:w="1535"/>
        <w:gridCol w:w="1210"/>
      </w:tblGrid>
      <w:tr w:rsidR="00161D8B" w:rsidTr="00D60623">
        <w:trPr>
          <w:cnfStyle w:val="100000000000"/>
        </w:trPr>
        <w:tc>
          <w:tcPr>
            <w:cnfStyle w:val="001000000000"/>
            <w:tcW w:w="1910" w:type="dxa"/>
          </w:tcPr>
          <w:p w:rsidR="00161D8B" w:rsidRPr="00161D8B" w:rsidRDefault="00161D8B" w:rsidP="00D60623">
            <w:pPr>
              <w:jc w:val="both"/>
              <w:rPr>
                <w:sz w:val="22"/>
              </w:rPr>
            </w:pPr>
            <w:r w:rsidRPr="00161D8B">
              <w:rPr>
                <w:sz w:val="22"/>
              </w:rPr>
              <w:t>Application</w:t>
            </w:r>
          </w:p>
        </w:tc>
        <w:tc>
          <w:tcPr>
            <w:tcW w:w="1668" w:type="dxa"/>
          </w:tcPr>
          <w:p w:rsidR="00161D8B" w:rsidRPr="00161D8B" w:rsidRDefault="00161D8B" w:rsidP="00D60623">
            <w:pPr>
              <w:jc w:val="both"/>
              <w:cnfStyle w:val="100000000000"/>
              <w:rPr>
                <w:sz w:val="22"/>
              </w:rPr>
            </w:pPr>
            <w:r w:rsidRPr="00161D8B">
              <w:rPr>
                <w:sz w:val="22"/>
              </w:rPr>
              <w:t xml:space="preserve">Product </w:t>
            </w:r>
          </w:p>
        </w:tc>
        <w:tc>
          <w:tcPr>
            <w:tcW w:w="1643" w:type="dxa"/>
          </w:tcPr>
          <w:p w:rsidR="00161D8B" w:rsidRPr="00161D8B" w:rsidRDefault="00161D8B" w:rsidP="00D60623">
            <w:pPr>
              <w:jc w:val="both"/>
              <w:cnfStyle w:val="100000000000"/>
              <w:rPr>
                <w:sz w:val="22"/>
              </w:rPr>
            </w:pPr>
            <w:r w:rsidRPr="00161D8B">
              <w:rPr>
                <w:sz w:val="22"/>
              </w:rPr>
              <w:t>Test method</w:t>
            </w:r>
          </w:p>
        </w:tc>
        <w:tc>
          <w:tcPr>
            <w:tcW w:w="1863" w:type="dxa"/>
          </w:tcPr>
          <w:p w:rsidR="00161D8B" w:rsidRPr="00161D8B" w:rsidRDefault="00161D8B" w:rsidP="00D60623">
            <w:pPr>
              <w:jc w:val="both"/>
              <w:cnfStyle w:val="100000000000"/>
              <w:rPr>
                <w:sz w:val="22"/>
              </w:rPr>
            </w:pPr>
            <w:r w:rsidRPr="00161D8B">
              <w:rPr>
                <w:sz w:val="22"/>
              </w:rPr>
              <w:t>Formaldehyde limit</w:t>
            </w:r>
          </w:p>
        </w:tc>
        <w:tc>
          <w:tcPr>
            <w:tcW w:w="1535" w:type="dxa"/>
          </w:tcPr>
          <w:p w:rsidR="00161D8B" w:rsidRPr="00161D8B" w:rsidRDefault="00161D8B" w:rsidP="00D60623">
            <w:pPr>
              <w:jc w:val="both"/>
              <w:cnfStyle w:val="100000000000"/>
              <w:rPr>
                <w:sz w:val="22"/>
              </w:rPr>
            </w:pPr>
            <w:r w:rsidRPr="00161D8B">
              <w:rPr>
                <w:sz w:val="22"/>
              </w:rPr>
              <w:t>Product formaldehyde emissions</w:t>
            </w:r>
          </w:p>
        </w:tc>
        <w:tc>
          <w:tcPr>
            <w:tcW w:w="1127" w:type="dxa"/>
          </w:tcPr>
          <w:p w:rsidR="00161D8B" w:rsidRPr="00161D8B" w:rsidRDefault="00161D8B" w:rsidP="00D60623">
            <w:pPr>
              <w:jc w:val="both"/>
              <w:cnfStyle w:val="100000000000"/>
              <w:rPr>
                <w:sz w:val="22"/>
              </w:rPr>
            </w:pPr>
            <w:r w:rsidRPr="00161D8B">
              <w:rPr>
                <w:sz w:val="22"/>
              </w:rPr>
              <w:t>Compliant? (Y/N)</w:t>
            </w:r>
          </w:p>
        </w:tc>
      </w:tr>
      <w:tr w:rsidR="00161D8B" w:rsidTr="00D60623">
        <w:trPr>
          <w:cnfStyle w:val="000000100000"/>
        </w:trPr>
        <w:tc>
          <w:tcPr>
            <w:cnfStyle w:val="001000000000"/>
            <w:tcW w:w="1910" w:type="dxa"/>
          </w:tcPr>
          <w:p w:rsidR="00161D8B" w:rsidRPr="00161D8B" w:rsidRDefault="00161D8B" w:rsidP="00D60623">
            <w:pPr>
              <w:jc w:val="both"/>
              <w:rPr>
                <w:color w:val="4CB2B3" w:themeColor="accent4"/>
              </w:rPr>
            </w:pPr>
          </w:p>
        </w:tc>
        <w:tc>
          <w:tcPr>
            <w:tcW w:w="1668" w:type="dxa"/>
          </w:tcPr>
          <w:p w:rsidR="00161D8B" w:rsidRPr="00161D8B" w:rsidRDefault="00161D8B" w:rsidP="00D60623">
            <w:pPr>
              <w:jc w:val="both"/>
              <w:cnfStyle w:val="000000100000"/>
              <w:rPr>
                <w:color w:val="4CB2B3" w:themeColor="accent4"/>
              </w:rPr>
            </w:pPr>
          </w:p>
        </w:tc>
        <w:tc>
          <w:tcPr>
            <w:tcW w:w="1643" w:type="dxa"/>
          </w:tcPr>
          <w:p w:rsidR="00161D8B" w:rsidRPr="00161D8B" w:rsidRDefault="00161D8B" w:rsidP="00D60623">
            <w:pPr>
              <w:jc w:val="both"/>
              <w:cnfStyle w:val="000000100000"/>
              <w:rPr>
                <w:color w:val="4CB2B3" w:themeColor="accent4"/>
              </w:rPr>
            </w:pPr>
          </w:p>
        </w:tc>
        <w:tc>
          <w:tcPr>
            <w:tcW w:w="1863" w:type="dxa"/>
          </w:tcPr>
          <w:p w:rsidR="00161D8B" w:rsidRPr="00161D8B" w:rsidRDefault="00161D8B" w:rsidP="00D60623">
            <w:pPr>
              <w:jc w:val="both"/>
              <w:cnfStyle w:val="000000100000"/>
              <w:rPr>
                <w:color w:val="4CB2B3" w:themeColor="accent4"/>
              </w:rPr>
            </w:pPr>
          </w:p>
        </w:tc>
        <w:tc>
          <w:tcPr>
            <w:tcW w:w="1535" w:type="dxa"/>
          </w:tcPr>
          <w:p w:rsidR="00161D8B" w:rsidRPr="00161D8B" w:rsidRDefault="00161D8B" w:rsidP="00D60623">
            <w:pPr>
              <w:jc w:val="both"/>
              <w:cnfStyle w:val="000000100000"/>
              <w:rPr>
                <w:color w:val="4CB2B3" w:themeColor="accent4"/>
              </w:rPr>
            </w:pPr>
          </w:p>
        </w:tc>
        <w:tc>
          <w:tcPr>
            <w:tcW w:w="1127" w:type="dxa"/>
          </w:tcPr>
          <w:p w:rsidR="00161D8B" w:rsidRPr="00161D8B" w:rsidRDefault="00161D8B" w:rsidP="00D60623">
            <w:pPr>
              <w:jc w:val="both"/>
              <w:cnfStyle w:val="000000100000"/>
              <w:rPr>
                <w:color w:val="4CB2B3" w:themeColor="accent4"/>
              </w:rPr>
            </w:pPr>
          </w:p>
        </w:tc>
      </w:tr>
      <w:tr w:rsidR="00161D8B" w:rsidTr="00D60623">
        <w:tc>
          <w:tcPr>
            <w:cnfStyle w:val="001000000000"/>
            <w:tcW w:w="1910" w:type="dxa"/>
          </w:tcPr>
          <w:p w:rsidR="00161D8B" w:rsidRPr="00161D8B" w:rsidRDefault="00161D8B" w:rsidP="00D60623">
            <w:pPr>
              <w:jc w:val="both"/>
              <w:rPr>
                <w:color w:val="4CB2B3" w:themeColor="accent4"/>
              </w:rPr>
            </w:pPr>
          </w:p>
        </w:tc>
        <w:tc>
          <w:tcPr>
            <w:tcW w:w="1668" w:type="dxa"/>
          </w:tcPr>
          <w:p w:rsidR="00161D8B" w:rsidRPr="00161D8B" w:rsidRDefault="00161D8B" w:rsidP="00D60623">
            <w:pPr>
              <w:jc w:val="both"/>
              <w:cnfStyle w:val="000000000000"/>
              <w:rPr>
                <w:color w:val="4CB2B3" w:themeColor="accent4"/>
              </w:rPr>
            </w:pPr>
          </w:p>
        </w:tc>
        <w:tc>
          <w:tcPr>
            <w:tcW w:w="1643" w:type="dxa"/>
          </w:tcPr>
          <w:p w:rsidR="00161D8B" w:rsidRPr="00161D8B" w:rsidRDefault="00161D8B" w:rsidP="00D60623">
            <w:pPr>
              <w:jc w:val="both"/>
              <w:cnfStyle w:val="000000000000"/>
              <w:rPr>
                <w:color w:val="4CB2B3" w:themeColor="accent4"/>
              </w:rPr>
            </w:pPr>
          </w:p>
        </w:tc>
        <w:tc>
          <w:tcPr>
            <w:tcW w:w="1863" w:type="dxa"/>
          </w:tcPr>
          <w:p w:rsidR="00161D8B" w:rsidRPr="00161D8B" w:rsidRDefault="00161D8B" w:rsidP="00D60623">
            <w:pPr>
              <w:jc w:val="both"/>
              <w:cnfStyle w:val="000000000000"/>
              <w:rPr>
                <w:color w:val="4CB2B3" w:themeColor="accent4"/>
              </w:rPr>
            </w:pPr>
          </w:p>
        </w:tc>
        <w:tc>
          <w:tcPr>
            <w:tcW w:w="1535" w:type="dxa"/>
          </w:tcPr>
          <w:p w:rsidR="00161D8B" w:rsidRPr="00161D8B" w:rsidRDefault="00161D8B" w:rsidP="00D60623">
            <w:pPr>
              <w:jc w:val="both"/>
              <w:cnfStyle w:val="000000000000"/>
              <w:rPr>
                <w:color w:val="4CB2B3" w:themeColor="accent4"/>
              </w:rPr>
            </w:pPr>
          </w:p>
        </w:tc>
        <w:tc>
          <w:tcPr>
            <w:tcW w:w="1127" w:type="dxa"/>
          </w:tcPr>
          <w:p w:rsidR="00161D8B" w:rsidRPr="00161D8B" w:rsidRDefault="00161D8B" w:rsidP="00D60623">
            <w:pPr>
              <w:jc w:val="both"/>
              <w:cnfStyle w:val="000000000000"/>
              <w:rPr>
                <w:color w:val="4CB2B3" w:themeColor="accent4"/>
              </w:rPr>
            </w:pPr>
          </w:p>
        </w:tc>
      </w:tr>
      <w:tr w:rsidR="00161D8B" w:rsidTr="00D60623">
        <w:trPr>
          <w:cnfStyle w:val="000000100000"/>
        </w:trPr>
        <w:tc>
          <w:tcPr>
            <w:cnfStyle w:val="001000000000"/>
            <w:tcW w:w="1910" w:type="dxa"/>
          </w:tcPr>
          <w:p w:rsidR="00161D8B" w:rsidRPr="00161D8B" w:rsidRDefault="00161D8B" w:rsidP="00D60623">
            <w:pPr>
              <w:jc w:val="both"/>
              <w:rPr>
                <w:color w:val="4CB2B3" w:themeColor="accent4"/>
              </w:rPr>
            </w:pPr>
          </w:p>
        </w:tc>
        <w:tc>
          <w:tcPr>
            <w:tcW w:w="1668" w:type="dxa"/>
          </w:tcPr>
          <w:p w:rsidR="00161D8B" w:rsidRPr="00161D8B" w:rsidRDefault="00161D8B" w:rsidP="00D60623">
            <w:pPr>
              <w:jc w:val="both"/>
              <w:cnfStyle w:val="000000100000"/>
              <w:rPr>
                <w:color w:val="4CB2B3" w:themeColor="accent4"/>
              </w:rPr>
            </w:pPr>
          </w:p>
        </w:tc>
        <w:tc>
          <w:tcPr>
            <w:tcW w:w="1643" w:type="dxa"/>
          </w:tcPr>
          <w:p w:rsidR="00161D8B" w:rsidRPr="00161D8B" w:rsidRDefault="00161D8B" w:rsidP="00D60623">
            <w:pPr>
              <w:jc w:val="both"/>
              <w:cnfStyle w:val="000000100000"/>
              <w:rPr>
                <w:color w:val="4CB2B3" w:themeColor="accent4"/>
              </w:rPr>
            </w:pPr>
          </w:p>
        </w:tc>
        <w:tc>
          <w:tcPr>
            <w:tcW w:w="1863" w:type="dxa"/>
          </w:tcPr>
          <w:p w:rsidR="00161D8B" w:rsidRPr="00161D8B" w:rsidRDefault="00161D8B" w:rsidP="00D60623">
            <w:pPr>
              <w:jc w:val="both"/>
              <w:cnfStyle w:val="000000100000"/>
              <w:rPr>
                <w:color w:val="4CB2B3" w:themeColor="accent4"/>
              </w:rPr>
            </w:pPr>
          </w:p>
        </w:tc>
        <w:tc>
          <w:tcPr>
            <w:tcW w:w="1535" w:type="dxa"/>
          </w:tcPr>
          <w:p w:rsidR="00161D8B" w:rsidRPr="00161D8B" w:rsidRDefault="00161D8B" w:rsidP="00D60623">
            <w:pPr>
              <w:jc w:val="both"/>
              <w:cnfStyle w:val="000000100000"/>
              <w:rPr>
                <w:color w:val="4CB2B3" w:themeColor="accent4"/>
              </w:rPr>
            </w:pPr>
          </w:p>
        </w:tc>
        <w:tc>
          <w:tcPr>
            <w:tcW w:w="1127" w:type="dxa"/>
          </w:tcPr>
          <w:p w:rsidR="00161D8B" w:rsidRPr="00161D8B" w:rsidRDefault="00161D8B" w:rsidP="00D60623">
            <w:pPr>
              <w:jc w:val="both"/>
              <w:cnfStyle w:val="000000100000"/>
              <w:rPr>
                <w:color w:val="4CB2B3" w:themeColor="accent4"/>
              </w:rPr>
            </w:pPr>
          </w:p>
        </w:tc>
      </w:tr>
      <w:tr w:rsidR="00161D8B" w:rsidTr="00D60623">
        <w:tc>
          <w:tcPr>
            <w:cnfStyle w:val="001000000000"/>
            <w:tcW w:w="1910" w:type="dxa"/>
          </w:tcPr>
          <w:p w:rsidR="00161D8B" w:rsidRPr="00161D8B" w:rsidRDefault="00161D8B" w:rsidP="00D60623">
            <w:pPr>
              <w:jc w:val="both"/>
              <w:rPr>
                <w:color w:val="4CB2B3" w:themeColor="accent4"/>
              </w:rPr>
            </w:pPr>
          </w:p>
        </w:tc>
        <w:tc>
          <w:tcPr>
            <w:tcW w:w="1668" w:type="dxa"/>
          </w:tcPr>
          <w:p w:rsidR="00161D8B" w:rsidRPr="00161D8B" w:rsidRDefault="00161D8B" w:rsidP="00D60623">
            <w:pPr>
              <w:jc w:val="both"/>
              <w:cnfStyle w:val="000000000000"/>
              <w:rPr>
                <w:color w:val="4CB2B3" w:themeColor="accent4"/>
              </w:rPr>
            </w:pPr>
          </w:p>
        </w:tc>
        <w:tc>
          <w:tcPr>
            <w:tcW w:w="1643" w:type="dxa"/>
          </w:tcPr>
          <w:p w:rsidR="00161D8B" w:rsidRPr="00161D8B" w:rsidRDefault="00161D8B" w:rsidP="00D60623">
            <w:pPr>
              <w:jc w:val="both"/>
              <w:cnfStyle w:val="000000000000"/>
              <w:rPr>
                <w:color w:val="4CB2B3" w:themeColor="accent4"/>
              </w:rPr>
            </w:pPr>
          </w:p>
        </w:tc>
        <w:tc>
          <w:tcPr>
            <w:tcW w:w="1863" w:type="dxa"/>
          </w:tcPr>
          <w:p w:rsidR="00161D8B" w:rsidRPr="00161D8B" w:rsidRDefault="00161D8B" w:rsidP="00D60623">
            <w:pPr>
              <w:jc w:val="both"/>
              <w:cnfStyle w:val="000000000000"/>
              <w:rPr>
                <w:color w:val="4CB2B3" w:themeColor="accent4"/>
              </w:rPr>
            </w:pPr>
          </w:p>
        </w:tc>
        <w:tc>
          <w:tcPr>
            <w:tcW w:w="1535" w:type="dxa"/>
          </w:tcPr>
          <w:p w:rsidR="00161D8B" w:rsidRPr="00161D8B" w:rsidRDefault="00161D8B" w:rsidP="00D60623">
            <w:pPr>
              <w:jc w:val="both"/>
              <w:cnfStyle w:val="000000000000"/>
              <w:rPr>
                <w:color w:val="4CB2B3" w:themeColor="accent4"/>
              </w:rPr>
            </w:pPr>
          </w:p>
        </w:tc>
        <w:tc>
          <w:tcPr>
            <w:tcW w:w="1127" w:type="dxa"/>
          </w:tcPr>
          <w:p w:rsidR="00161D8B" w:rsidRPr="00161D8B" w:rsidRDefault="00161D8B" w:rsidP="00D60623">
            <w:pPr>
              <w:jc w:val="both"/>
              <w:cnfStyle w:val="000000000000"/>
              <w:rPr>
                <w:color w:val="4CB2B3" w:themeColor="accent4"/>
              </w:rPr>
            </w:pPr>
          </w:p>
        </w:tc>
      </w:tr>
      <w:tr w:rsidR="00161D8B" w:rsidTr="00D60623">
        <w:trPr>
          <w:cnfStyle w:val="000000100000"/>
        </w:trPr>
        <w:tc>
          <w:tcPr>
            <w:cnfStyle w:val="001000000000"/>
            <w:tcW w:w="1910" w:type="dxa"/>
          </w:tcPr>
          <w:p w:rsidR="00161D8B" w:rsidRDefault="00161D8B" w:rsidP="00D60623">
            <w:pPr>
              <w:jc w:val="both"/>
            </w:pPr>
            <w:r>
              <w:t>Total</w:t>
            </w:r>
          </w:p>
        </w:tc>
        <w:tc>
          <w:tcPr>
            <w:tcW w:w="1668" w:type="dxa"/>
          </w:tcPr>
          <w:p w:rsidR="00161D8B" w:rsidRPr="00161D8B" w:rsidRDefault="00161D8B" w:rsidP="00D60623">
            <w:pPr>
              <w:jc w:val="both"/>
              <w:cnfStyle w:val="000000100000"/>
              <w:rPr>
                <w:color w:val="4CB2B3" w:themeColor="accent4"/>
              </w:rPr>
            </w:pPr>
          </w:p>
        </w:tc>
        <w:tc>
          <w:tcPr>
            <w:tcW w:w="1643" w:type="dxa"/>
          </w:tcPr>
          <w:p w:rsidR="00161D8B" w:rsidRPr="00161D8B" w:rsidRDefault="00161D8B" w:rsidP="00D60623">
            <w:pPr>
              <w:jc w:val="both"/>
              <w:cnfStyle w:val="000000100000"/>
              <w:rPr>
                <w:color w:val="4CB2B3" w:themeColor="accent4"/>
              </w:rPr>
            </w:pPr>
          </w:p>
        </w:tc>
        <w:tc>
          <w:tcPr>
            <w:tcW w:w="1863" w:type="dxa"/>
          </w:tcPr>
          <w:p w:rsidR="00161D8B" w:rsidRPr="00161D8B" w:rsidRDefault="00161D8B" w:rsidP="00D60623">
            <w:pPr>
              <w:jc w:val="both"/>
              <w:cnfStyle w:val="000000100000"/>
              <w:rPr>
                <w:color w:val="4CB2B3" w:themeColor="accent4"/>
              </w:rPr>
            </w:pPr>
          </w:p>
        </w:tc>
        <w:tc>
          <w:tcPr>
            <w:tcW w:w="1535" w:type="dxa"/>
          </w:tcPr>
          <w:p w:rsidR="00161D8B" w:rsidRPr="00161D8B" w:rsidRDefault="00161D8B" w:rsidP="00D60623">
            <w:pPr>
              <w:jc w:val="both"/>
              <w:cnfStyle w:val="000000100000"/>
              <w:rPr>
                <w:color w:val="4CB2B3" w:themeColor="accent4"/>
              </w:rPr>
            </w:pPr>
          </w:p>
        </w:tc>
        <w:tc>
          <w:tcPr>
            <w:tcW w:w="1127" w:type="dxa"/>
          </w:tcPr>
          <w:p w:rsidR="00161D8B" w:rsidRPr="00161D8B" w:rsidRDefault="00161D8B" w:rsidP="00D60623">
            <w:pPr>
              <w:jc w:val="both"/>
              <w:cnfStyle w:val="000000100000"/>
            </w:pPr>
            <w:r w:rsidRPr="00161D8B">
              <w:t xml:space="preserve">% Compliant </w:t>
            </w:r>
          </w:p>
        </w:tc>
      </w:tr>
    </w:tbl>
    <w:p w:rsidR="00161D8B" w:rsidRDefault="00161D8B" w:rsidP="00161D8B">
      <w:pPr>
        <w:jc w:val="both"/>
      </w:pPr>
    </w:p>
    <w:p w:rsidR="00161D8B" w:rsidRPr="00161D8B" w:rsidRDefault="00161D8B" w:rsidP="00161D8B">
      <w:pPr>
        <w:jc w:val="both"/>
        <w:rPr>
          <w:color w:val="4CB2B3" w:themeColor="accent4"/>
        </w:rPr>
      </w:pPr>
      <w:r w:rsidRPr="00161D8B">
        <w:rPr>
          <w:color w:val="4CB2B3" w:themeColor="accent4"/>
        </w:rPr>
        <w:t>[Insert hyperlinks to documents which support these claims]</w:t>
      </w:r>
    </w:p>
    <w:p w:rsidR="00161D8B" w:rsidRDefault="00161D8B" w:rsidP="00161D8B">
      <w:pPr>
        <w:jc w:val="both"/>
      </w:pPr>
    </w:p>
    <w:p w:rsidR="00161D8B" w:rsidRPr="00703FDA" w:rsidRDefault="00161D8B" w:rsidP="00161D8B">
      <w:pPr>
        <w:pBdr>
          <w:top w:val="single" w:sz="4" w:space="1" w:color="auto"/>
          <w:bottom w:val="single" w:sz="4" w:space="1" w:color="auto"/>
        </w:pBdr>
        <w:shd w:val="clear" w:color="auto" w:fill="2C3034" w:themeFill="text1"/>
      </w:pPr>
      <w:r>
        <w:t>Therefore, as demonstrated in section 1.1</w:t>
      </w:r>
      <w:r w:rsidRPr="00782A11">
        <w:t>,</w:t>
      </w:r>
      <w:r>
        <w:rPr>
          <w:color w:val="2F333B" w:themeColor="accent3" w:themeShade="BF"/>
        </w:rPr>
        <w:t xml:space="preserve"> </w:t>
      </w:r>
      <w:r>
        <w:t xml:space="preserve">this project is eligible to achieve 1 point by using engineered wood products with contain </w:t>
      </w:r>
      <w:r w:rsidRPr="00161D8B">
        <w:rPr>
          <w:color w:val="4CB2B3" w:themeColor="accent4"/>
        </w:rPr>
        <w:t>[no or low]</w:t>
      </w:r>
      <w:r>
        <w:t xml:space="preserve"> formaldehyde.  </w:t>
      </w:r>
    </w:p>
    <w:p w:rsidR="00161D8B" w:rsidRDefault="00161D8B" w:rsidP="00161D8B">
      <w:pPr>
        <w:rPr>
          <w:b/>
        </w:rPr>
      </w:pPr>
    </w:p>
    <w:p w:rsidR="00161D8B" w:rsidRDefault="00161D8B" w:rsidP="00161D8B">
      <w:r>
        <w:t>The following chapters of this template are relevant f</w:t>
      </w:r>
      <w:r w:rsidRPr="00890809">
        <w:t>or projects</w:t>
      </w:r>
      <w:r>
        <w:t xml:space="preserve"> that are claiming ‘not applicable’ for this </w:t>
      </w:r>
      <w:r w:rsidRPr="00890809">
        <w:t>credit:</w:t>
      </w:r>
    </w:p>
    <w:p w:rsidR="00161D8B" w:rsidRDefault="00161D8B" w:rsidP="00161D8B">
      <w:pPr>
        <w:rPr>
          <w:b/>
        </w:rPr>
      </w:pPr>
    </w:p>
    <w:p w:rsidR="00161D8B" w:rsidRPr="00161D8B" w:rsidRDefault="00161D8B" w:rsidP="00161D8B">
      <w:pPr>
        <w:jc w:val="both"/>
        <w:rPr>
          <w:b/>
          <w:color w:val="8DC63F" w:themeColor="text2"/>
        </w:rPr>
      </w:pPr>
      <w:r w:rsidRPr="00161D8B">
        <w:rPr>
          <w:b/>
          <w:color w:val="8DC63F" w:themeColor="text2"/>
        </w:rPr>
        <w:t>1.2</w:t>
      </w:r>
      <w:r w:rsidRPr="00161D8B">
        <w:rPr>
          <w:b/>
          <w:color w:val="8DC63F" w:themeColor="text2"/>
        </w:rPr>
        <w:tab/>
        <w:t>No engineered wood used on project</w:t>
      </w:r>
    </w:p>
    <w:p w:rsidR="00161D8B" w:rsidRDefault="00161D8B" w:rsidP="00161D8B">
      <w:pPr>
        <w:jc w:val="both"/>
        <w:rPr>
          <w:color w:val="3F454F" w:themeColor="accent3"/>
        </w:rPr>
      </w:pPr>
      <w:r>
        <w:t xml:space="preserve">No engineered wood products (which include particleboard, plywood, MDF, veneer and decorative overlaid wood panels) have been specified on the project. Therefore this credit is ‘Not Applicable’ and is excluded from the points available used to calculate the Indoor Environment Quality Category Score. </w:t>
      </w:r>
    </w:p>
    <w:p w:rsidR="00161D8B" w:rsidRDefault="00161D8B" w:rsidP="00161D8B">
      <w:pPr>
        <w:jc w:val="both"/>
        <w:rPr>
          <w:color w:val="3F454F" w:themeColor="accent3"/>
        </w:rPr>
      </w:pPr>
    </w:p>
    <w:p w:rsidR="00161D8B" w:rsidRPr="00161D8B" w:rsidRDefault="00161D8B" w:rsidP="00161D8B">
      <w:pPr>
        <w:jc w:val="both"/>
        <w:rPr>
          <w:color w:val="4CB2B3" w:themeColor="accent4"/>
        </w:rPr>
      </w:pPr>
      <w:r w:rsidRPr="00161D8B">
        <w:rPr>
          <w:color w:val="4CB2B3" w:themeColor="accent4"/>
        </w:rPr>
        <w:t>[Insert hyperlinks to documents which support these claims]</w:t>
      </w:r>
    </w:p>
    <w:p w:rsidR="00161D8B" w:rsidRPr="00730DBF" w:rsidRDefault="00161D8B" w:rsidP="00161D8B">
      <w:pPr>
        <w:jc w:val="both"/>
      </w:pPr>
    </w:p>
    <w:p w:rsidR="00161D8B" w:rsidRDefault="00161D8B" w:rsidP="00161D8B">
      <w:pPr>
        <w:pBdr>
          <w:top w:val="single" w:sz="4" w:space="1" w:color="auto"/>
          <w:bottom w:val="single" w:sz="4" w:space="1" w:color="auto"/>
        </w:pBdr>
        <w:shd w:val="clear" w:color="auto" w:fill="2C3034" w:themeFill="text1"/>
      </w:pPr>
      <w:r>
        <w:t>Therefore, as demonstrated in section 1.2</w:t>
      </w:r>
      <w:r w:rsidRPr="00782A11">
        <w:t>,</w:t>
      </w:r>
      <w:r>
        <w:rPr>
          <w:color w:val="2F333B" w:themeColor="accent3" w:themeShade="BF"/>
        </w:rPr>
        <w:t xml:space="preserve"> </w:t>
      </w:r>
      <w:r>
        <w:t xml:space="preserve">this credit is considered ‘Not Applicable’ for the project. </w:t>
      </w:r>
    </w:p>
    <w:p w:rsidR="00161D8B" w:rsidRDefault="00161D8B" w:rsidP="00161D8B">
      <w:pPr>
        <w:rPr>
          <w:b/>
          <w:color w:val="8DC63F" w:themeColor="text2"/>
          <w:sz w:val="24"/>
        </w:rPr>
      </w:pPr>
    </w:p>
    <w:p w:rsidR="00EE14B3" w:rsidRPr="00161D8B" w:rsidRDefault="00EE14B3" w:rsidP="00161D8B">
      <w:pPr>
        <w:rPr>
          <w:b/>
          <w:color w:val="8DC63F" w:themeColor="text2"/>
          <w:sz w:val="24"/>
        </w:rPr>
      </w:pPr>
      <w:r w:rsidRPr="00161D8B">
        <w:rPr>
          <w:b/>
          <w:color w:val="8DC63F" w:themeColor="text2"/>
          <w:sz w:val="24"/>
        </w:rPr>
        <w:t>Discussion</w:t>
      </w:r>
    </w:p>
    <w:p w:rsidR="00EE14B3" w:rsidRDefault="00EE14B3" w:rsidP="00EE14B3">
      <w:pPr>
        <w:pStyle w:val="Bluetext"/>
      </w:pPr>
      <w:r w:rsidRPr="00391850">
        <w:t>[Insert any issues you would like to highlight and clarify to the Assessment Panel.]</w:t>
      </w:r>
    </w:p>
    <w:p w:rsidR="00EE14B3" w:rsidRDefault="00EE14B3" w:rsidP="00EE14B3"/>
    <w:p w:rsidR="00EE14B3" w:rsidRPr="0035552E" w:rsidRDefault="00EE14B3" w:rsidP="00EE14B3">
      <w:r>
        <w:t xml:space="preserve">Author Details: </w:t>
      </w:r>
    </w:p>
    <w:p w:rsidR="00EE14B3" w:rsidRPr="0023233C" w:rsidRDefault="00EE14B3" w:rsidP="00EE14B3">
      <w:pPr>
        <w:rPr>
          <w:color w:val="4CB2B3" w:themeColor="accent4"/>
        </w:rPr>
      </w:pPr>
      <w:r w:rsidRPr="0023233C">
        <w:rPr>
          <w:color w:val="4CB2B3" w:themeColor="accent4"/>
        </w:rPr>
        <w:t>[Insert name, position and contact details of author]</w:t>
      </w:r>
    </w:p>
    <w:sdt>
      <w:sdtPr>
        <w:rPr>
          <w:color w:val="4CB2B3" w:themeColor="accent4"/>
        </w:rPr>
        <w:id w:val="2568407"/>
        <w:placeholder>
          <w:docPart w:val="31296DF3A89343428BDEEC35E8399551"/>
        </w:placeholder>
        <w:date>
          <w:dateFormat w:val="d/MM/yyyy"/>
          <w:lid w:val="en-AU"/>
          <w:storeMappedDataAs w:val="dateTime"/>
          <w:calendar w:val="gregorian"/>
        </w:date>
      </w:sdtPr>
      <w:sdtContent>
        <w:p w:rsidR="00EE14B3" w:rsidRPr="0023233C" w:rsidRDefault="00EE14B3" w:rsidP="00EE14B3">
          <w:pPr>
            <w:rPr>
              <w:color w:val="4CB2B3" w:themeColor="accent4"/>
            </w:rPr>
          </w:pPr>
          <w:r w:rsidRPr="0023233C">
            <w:rPr>
              <w:color w:val="4CB2B3" w:themeColor="accent4"/>
            </w:rPr>
            <w:t>[Date]</w:t>
          </w:r>
        </w:p>
      </w:sdtContent>
    </w:sdt>
    <w:p w:rsidR="00EE14B3" w:rsidRDefault="00EE14B3" w:rsidP="00EE14B3">
      <w:pPr>
        <w:rPr>
          <w:rFonts w:eastAsiaTheme="majorEastAsia"/>
        </w:rPr>
      </w:pPr>
    </w:p>
    <w:p w:rsidR="00EE14B3" w:rsidRDefault="00EE14B3" w:rsidP="00EE14B3">
      <w:pPr>
        <w:pStyle w:val="DateIssue"/>
      </w:pPr>
      <w:r w:rsidRPr="0035552E">
        <w:t xml:space="preserve">––– </w:t>
      </w:r>
      <w:r w:rsidRPr="00D520E6">
        <w:rPr>
          <w:rStyle w:val="Strong"/>
        </w:rPr>
        <w:t>Report end</w:t>
      </w:r>
      <w:r w:rsidRPr="0035552E">
        <w:t xml:space="preserve"> –––</w:t>
      </w:r>
    </w:p>
    <w:p w:rsidR="00EE14B3" w:rsidRPr="0035552E" w:rsidRDefault="00EE14B3" w:rsidP="00EE14B3"/>
    <w:p w:rsidR="00EE14B3" w:rsidRDefault="00EE14B3" w:rsidP="00EE14B3"/>
    <w:p w:rsidR="008A3A0F" w:rsidRDefault="008A3A0F"/>
    <w:sectPr w:rsidR="008A3A0F" w:rsidSect="00FD57F2">
      <w:headerReference w:type="default" r:id="rId8"/>
      <w:footerReference w:type="default" r:id="rId9"/>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579" w:rsidRDefault="000C1579" w:rsidP="00460249">
      <w:r>
        <w:separator/>
      </w:r>
    </w:p>
  </w:endnote>
  <w:endnote w:type="continuationSeparator" w:id="1">
    <w:p w:rsidR="000C1579" w:rsidRDefault="000C1579"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79" w:rsidRPr="00B85A44" w:rsidRDefault="0012401E" w:rsidP="00B85A44">
    <w:pPr>
      <w:pStyle w:val="Footer"/>
      <w:jc w:val="right"/>
    </w:pPr>
    <w:sdt>
      <w:sdtPr>
        <w:id w:val="114239075"/>
        <w:docPartObj>
          <w:docPartGallery w:val="Page Numbers (Bottom of Page)"/>
          <w:docPartUnique/>
        </w:docPartObj>
      </w:sdtPr>
      <w:sdtContent>
        <w:r w:rsidRPr="001133B3">
          <w:rPr>
            <w:b/>
          </w:rPr>
          <w:fldChar w:fldCharType="begin"/>
        </w:r>
        <w:r w:rsidR="000C1579" w:rsidRPr="001133B3">
          <w:rPr>
            <w:b/>
          </w:rPr>
          <w:instrText xml:space="preserve"> PAGE   \* MERGEFORMAT </w:instrText>
        </w:r>
        <w:r w:rsidRPr="001133B3">
          <w:rPr>
            <w:b/>
          </w:rPr>
          <w:fldChar w:fldCharType="separate"/>
        </w:r>
        <w:r w:rsidR="0053145B">
          <w:rPr>
            <w:b/>
            <w:noProof/>
          </w:rPr>
          <w:t>1</w:t>
        </w:r>
        <w:r w:rsidRPr="001133B3">
          <w:rPr>
            <w:b/>
          </w:rPr>
          <w:fldChar w:fldCharType="end"/>
        </w:r>
      </w:sdtContent>
    </w:sdt>
    <w:r w:rsidR="000C1579">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579" w:rsidRDefault="000C1579" w:rsidP="00460249">
      <w:r>
        <w:separator/>
      </w:r>
    </w:p>
  </w:footnote>
  <w:footnote w:type="continuationSeparator" w:id="1">
    <w:p w:rsidR="000C1579" w:rsidRDefault="000C1579"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79" w:rsidRDefault="000C1579" w:rsidP="00B85A44">
    <w:pPr>
      <w:pStyle w:val="Header"/>
      <w:spacing w:line="220" w:lineRule="exact"/>
      <w:rPr>
        <w:b/>
        <w:sz w:val="16"/>
        <w:szCs w:val="16"/>
      </w:rPr>
    </w:pPr>
    <w:r>
      <w:rPr>
        <w:b/>
        <w:sz w:val="16"/>
        <w:szCs w:val="16"/>
      </w:rPr>
      <w:t>(The report is to be on the letterhead of the company preparing the report)</w:t>
    </w:r>
  </w:p>
  <w:p w:rsidR="000C1579" w:rsidRPr="00B85A44" w:rsidRDefault="000C1579" w:rsidP="00B85A44">
    <w:pPr>
      <w:pStyle w:val="Header"/>
      <w:tabs>
        <w:tab w:val="clear" w:pos="4513"/>
        <w:tab w:val="clear" w:pos="9026"/>
        <w:tab w:val="left" w:pos="3178"/>
      </w:tabs>
      <w:spacing w:line="220" w:lineRule="exact"/>
      <w:rPr>
        <w:sz w:val="16"/>
        <w:szCs w:val="16"/>
        <w:vertAlign w:val="subscript"/>
      </w:rPr>
    </w:pPr>
    <w:r>
      <w:rPr>
        <w:sz w:val="16"/>
        <w:szCs w:val="16"/>
      </w:rPr>
      <w:t>Date issued: October 2013</w:t>
    </w:r>
    <w:r>
      <w:rPr>
        <w:sz w:val="16"/>
        <w:szCs w:val="16"/>
      </w:rPr>
      <w:tab/>
    </w:r>
  </w:p>
  <w:p w:rsidR="000C1579" w:rsidRPr="000650AC" w:rsidRDefault="000C1579" w:rsidP="00B85A44">
    <w:pPr>
      <w:pStyle w:val="Header"/>
      <w:rPr>
        <w:rFonts w:cs="Arial"/>
        <w:color w:val="00B0F0"/>
        <w:szCs w:val="18"/>
      </w:rPr>
    </w:pPr>
  </w:p>
  <w:p w:rsidR="000C1579" w:rsidRDefault="000C15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362F2A"/>
    <w:multiLevelType w:val="multilevel"/>
    <w:tmpl w:val="7B5CFE5E"/>
    <w:lvl w:ilvl="0">
      <w:start w:val="1"/>
      <w:numFmt w:val="decimal"/>
      <w:lvlText w:val="%1."/>
      <w:lvlJc w:val="left"/>
      <w:pPr>
        <w:ind w:left="360" w:hanging="360"/>
      </w:pPr>
      <w:rPr>
        <w:rFonts w:ascii="Arial" w:hAnsi="Arial" w:hint="default"/>
        <w:b/>
        <w:i w:val="0"/>
        <w:caps/>
        <w:color w:val="00A1D7"/>
        <w:sz w:val="20"/>
      </w:rPr>
    </w:lvl>
    <w:lvl w:ilvl="1">
      <w:start w:val="1"/>
      <w:numFmt w:val="decimal"/>
      <w:pStyle w:val="HeadingSimilarStyle"/>
      <w:lvlText w:val="%1.%2"/>
      <w:lvlJc w:val="left"/>
      <w:pPr>
        <w:tabs>
          <w:tab w:val="num" w:pos="0"/>
        </w:tabs>
        <w:ind w:left="454" w:hanging="454"/>
      </w:pPr>
      <w:rPr>
        <w:rFonts w:ascii="Arial" w:hAnsi="Arial" w:cs="Arial" w:hint="default"/>
        <w:b/>
        <w:i w:val="0"/>
        <w:color w:val="00A1D7"/>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264965CF"/>
    <w:multiLevelType w:val="multilevel"/>
    <w:tmpl w:val="FFBA1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nsid w:val="3B624C0D"/>
    <w:multiLevelType w:val="multilevel"/>
    <w:tmpl w:val="3C62E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885B9D"/>
    <w:multiLevelType w:val="multilevel"/>
    <w:tmpl w:val="5AE4517C"/>
    <w:lvl w:ilvl="0">
      <w:start w:val="1"/>
      <w:numFmt w:val="decimal"/>
      <w:pStyle w:val="Numberedheading"/>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1"/>
  </w:num>
  <w:num w:numId="14">
    <w:abstractNumId w:val="10"/>
  </w:num>
  <w:num w:numId="15">
    <w:abstractNumId w:val="22"/>
  </w:num>
  <w:num w:numId="16">
    <w:abstractNumId w:val="14"/>
  </w:num>
  <w:num w:numId="17">
    <w:abstractNumId w:val="18"/>
  </w:num>
  <w:num w:numId="18">
    <w:abstractNumId w:val="19"/>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 w:ilvl="0">
        <w:start w:val="1"/>
        <w:numFmt w:val="decimal"/>
        <w:pStyle w:val="Numberedheading"/>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2">
    <w:abstractNumId w:val="1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47105">
      <o:colormenu v:ext="edit" fillcolor="none [3213]"/>
    </o:shapedefaults>
  </w:hdrShapeDefaults>
  <w:footnotePr>
    <w:footnote w:id="0"/>
    <w:footnote w:id="1"/>
  </w:footnotePr>
  <w:endnotePr>
    <w:endnote w:id="0"/>
    <w:endnote w:id="1"/>
  </w:endnotePr>
  <w:compat/>
  <w:rsids>
    <w:rsidRoot w:val="00460249"/>
    <w:rsid w:val="00014495"/>
    <w:rsid w:val="00025CB7"/>
    <w:rsid w:val="000650AC"/>
    <w:rsid w:val="0008070C"/>
    <w:rsid w:val="000C1579"/>
    <w:rsid w:val="001047CC"/>
    <w:rsid w:val="00107548"/>
    <w:rsid w:val="0012401E"/>
    <w:rsid w:val="00161D8B"/>
    <w:rsid w:val="001A6222"/>
    <w:rsid w:val="001B6018"/>
    <w:rsid w:val="0022008D"/>
    <w:rsid w:val="00225AD0"/>
    <w:rsid w:val="0023484F"/>
    <w:rsid w:val="00241264"/>
    <w:rsid w:val="00252745"/>
    <w:rsid w:val="002B4B9A"/>
    <w:rsid w:val="002D74EF"/>
    <w:rsid w:val="00320CBC"/>
    <w:rsid w:val="00320EF8"/>
    <w:rsid w:val="00396CD6"/>
    <w:rsid w:val="003B2B2C"/>
    <w:rsid w:val="003C2E11"/>
    <w:rsid w:val="003E7E12"/>
    <w:rsid w:val="00414958"/>
    <w:rsid w:val="00420C67"/>
    <w:rsid w:val="00455F5F"/>
    <w:rsid w:val="00460249"/>
    <w:rsid w:val="004A5A48"/>
    <w:rsid w:val="004A750A"/>
    <w:rsid w:val="004F58D9"/>
    <w:rsid w:val="0051588D"/>
    <w:rsid w:val="0053145B"/>
    <w:rsid w:val="00551E11"/>
    <w:rsid w:val="00584F37"/>
    <w:rsid w:val="00593639"/>
    <w:rsid w:val="006B2171"/>
    <w:rsid w:val="006C0BBD"/>
    <w:rsid w:val="0070092B"/>
    <w:rsid w:val="007A1367"/>
    <w:rsid w:val="007C68AD"/>
    <w:rsid w:val="008410D5"/>
    <w:rsid w:val="008543E7"/>
    <w:rsid w:val="00873478"/>
    <w:rsid w:val="008A3A0F"/>
    <w:rsid w:val="008B34A2"/>
    <w:rsid w:val="008B435B"/>
    <w:rsid w:val="008B64BF"/>
    <w:rsid w:val="00916944"/>
    <w:rsid w:val="00931769"/>
    <w:rsid w:val="00940347"/>
    <w:rsid w:val="00954CBF"/>
    <w:rsid w:val="00A04A3B"/>
    <w:rsid w:val="00A15F2F"/>
    <w:rsid w:val="00AB1711"/>
    <w:rsid w:val="00AB7F1D"/>
    <w:rsid w:val="00AC4B8C"/>
    <w:rsid w:val="00AD0275"/>
    <w:rsid w:val="00B32095"/>
    <w:rsid w:val="00B33C5F"/>
    <w:rsid w:val="00B353E4"/>
    <w:rsid w:val="00B54E07"/>
    <w:rsid w:val="00B85A44"/>
    <w:rsid w:val="00BB6B53"/>
    <w:rsid w:val="00BC42CD"/>
    <w:rsid w:val="00BE2DB1"/>
    <w:rsid w:val="00C1485E"/>
    <w:rsid w:val="00C21028"/>
    <w:rsid w:val="00C54859"/>
    <w:rsid w:val="00CC19D8"/>
    <w:rsid w:val="00CD1831"/>
    <w:rsid w:val="00D019EC"/>
    <w:rsid w:val="00D50053"/>
    <w:rsid w:val="00D95CBE"/>
    <w:rsid w:val="00DA6205"/>
    <w:rsid w:val="00E05A87"/>
    <w:rsid w:val="00E323FA"/>
    <w:rsid w:val="00E407C8"/>
    <w:rsid w:val="00E42DD8"/>
    <w:rsid w:val="00E47464"/>
    <w:rsid w:val="00EB15C3"/>
    <w:rsid w:val="00ED51D6"/>
    <w:rsid w:val="00EE14B3"/>
    <w:rsid w:val="00F00E31"/>
    <w:rsid w:val="00F05524"/>
    <w:rsid w:val="00F713F5"/>
    <w:rsid w:val="00F770C0"/>
    <w:rsid w:val="00F962E9"/>
    <w:rsid w:val="00F96995"/>
    <w:rsid w:val="00FB73A1"/>
    <w:rsid w:val="00FD57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53145B"/>
  </w:style>
  <w:style w:type="paragraph" w:styleId="Heading1">
    <w:name w:val="heading 1"/>
    <w:aliases w:val="GBCA Heading 1,GBCA,Section Title"/>
    <w:basedOn w:val="Normal"/>
    <w:next w:val="Normal"/>
    <w:link w:val="Heading1Char"/>
    <w:uiPriority w:val="9"/>
    <w:qFormat/>
    <w:rsid w:val="00931769"/>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931769"/>
    <w:pPr>
      <w:keepNext/>
      <w:keepLines/>
      <w:spacing w:before="200"/>
      <w:outlineLvl w:val="1"/>
    </w:pPr>
    <w:rPr>
      <w:rFonts w:ascii="Arial" w:eastAsiaTheme="majorEastAsia" w:hAnsi="Arial"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931769"/>
    <w:pPr>
      <w:keepNext/>
      <w:keepLines/>
      <w:outlineLvl w:val="2"/>
    </w:pPr>
    <w:rPr>
      <w:rFonts w:asciiTheme="majorHAnsi" w:eastAsiaTheme="majorEastAsia" w:hAnsiTheme="majorHAnsi" w:cstheme="majorBidi"/>
      <w:b/>
      <w:bCs/>
      <w:color w:val="8DC63F" w:themeColor="text2"/>
      <w:sz w:val="18"/>
    </w:rPr>
  </w:style>
  <w:style w:type="paragraph" w:styleId="Heading4">
    <w:name w:val="heading 4"/>
    <w:aliases w:val="Sub Heading 2"/>
    <w:basedOn w:val="Normal"/>
    <w:next w:val="Normal"/>
    <w:link w:val="Heading4Char"/>
    <w:uiPriority w:val="9"/>
    <w:unhideWhenUsed/>
    <w:qFormat/>
    <w:rsid w:val="00931769"/>
    <w:pPr>
      <w:keepNext/>
      <w:keepLines/>
      <w:spacing w:after="0"/>
      <w:outlineLvl w:val="3"/>
    </w:pPr>
    <w:rPr>
      <w:rFonts w:ascii="Arial" w:eastAsiaTheme="majorEastAsia" w:hAnsi="Arial" w:cstheme="majorBidi"/>
      <w:b/>
      <w:bCs/>
      <w:iCs/>
      <w:color w:val="2C3034" w:themeColor="text1"/>
      <w:sz w:val="18"/>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931769"/>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53145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3145B"/>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
    <w:basedOn w:val="DefaultParagraphFont"/>
    <w:link w:val="Heading1"/>
    <w:uiPriority w:val="9"/>
    <w:rsid w:val="00931769"/>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931769"/>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931769"/>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931769"/>
    <w:rPr>
      <w:b/>
      <w:sz w:val="24"/>
      <w:szCs w:val="24"/>
    </w:rPr>
  </w:style>
  <w:style w:type="character" w:customStyle="1" w:styleId="GBCAHeading4Char">
    <w:name w:val="GBCA Heading 4 Char"/>
    <w:basedOn w:val="DefaultParagraphFont"/>
    <w:link w:val="GBCAHeading4"/>
    <w:rsid w:val="00931769"/>
    <w:rPr>
      <w:b/>
      <w:sz w:val="24"/>
      <w:szCs w:val="24"/>
    </w:rPr>
  </w:style>
  <w:style w:type="character" w:customStyle="1" w:styleId="Heading2Char">
    <w:name w:val="Heading 2 Char"/>
    <w:aliases w:val="Heading Char"/>
    <w:basedOn w:val="DefaultParagraphFont"/>
    <w:link w:val="Heading2"/>
    <w:uiPriority w:val="9"/>
    <w:rsid w:val="00931769"/>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931769"/>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931769"/>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931769"/>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931769"/>
    <w:rPr>
      <w:rFonts w:ascii="Arial Black" w:eastAsiaTheme="majorEastAsia" w:hAnsi="Arial Black" w:cstheme="majorBidi"/>
      <w:color w:val="8DC63F"/>
      <w:sz w:val="84"/>
      <w:szCs w:val="52"/>
    </w:rPr>
  </w:style>
  <w:style w:type="paragraph" w:customStyle="1" w:styleId="TitlesubHeading">
    <w:name w:val="Title sub Heading"/>
    <w:basedOn w:val="Title"/>
    <w:qFormat/>
    <w:rsid w:val="00931769"/>
    <w:pPr>
      <w:spacing w:line="968" w:lineRule="exact"/>
    </w:pPr>
    <w:rPr>
      <w:rFonts w:ascii="Arial" w:hAnsi="Arial"/>
      <w:b/>
      <w:color w:val="auto"/>
    </w:rPr>
  </w:style>
  <w:style w:type="paragraph" w:customStyle="1" w:styleId="FirstnameLastname">
    <w:name w:val="Firstname Lastname"/>
    <w:basedOn w:val="Normal"/>
    <w:qFormat/>
    <w:rsid w:val="00931769"/>
    <w:pPr>
      <w:spacing w:line="336" w:lineRule="exact"/>
    </w:pPr>
    <w:rPr>
      <w:b/>
      <w:sz w:val="28"/>
    </w:rPr>
  </w:style>
  <w:style w:type="paragraph" w:customStyle="1" w:styleId="DateIssue">
    <w:name w:val="Date Issue"/>
    <w:basedOn w:val="FirstnameLastname"/>
    <w:qFormat/>
    <w:rsid w:val="00931769"/>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931769"/>
    <w:pPr>
      <w:spacing w:after="113" w:line="336" w:lineRule="exact"/>
    </w:pPr>
    <w:rPr>
      <w:rFonts w:ascii="Arial" w:hAnsi="Arial"/>
      <w:b/>
      <w:sz w:val="28"/>
    </w:rPr>
  </w:style>
  <w:style w:type="character" w:customStyle="1" w:styleId="TabletitleChar">
    <w:name w:val="Table title Char"/>
    <w:basedOn w:val="Heading1Char"/>
    <w:link w:val="Tabletitle"/>
    <w:rsid w:val="00931769"/>
    <w:rPr>
      <w:rFonts w:ascii="Arial" w:hAnsi="Arial"/>
      <w:b/>
      <w:sz w:val="28"/>
    </w:rPr>
  </w:style>
  <w:style w:type="paragraph" w:customStyle="1" w:styleId="BodyoftextBulletPoint">
    <w:name w:val="Body of text – Bullet Point"/>
    <w:basedOn w:val="Normal"/>
    <w:link w:val="BodyoftextBulletPointChar"/>
    <w:qFormat/>
    <w:rsid w:val="00931769"/>
    <w:pPr>
      <w:numPr>
        <w:numId w:val="11"/>
      </w:numPr>
    </w:pPr>
  </w:style>
  <w:style w:type="character" w:customStyle="1" w:styleId="BodyoftextBulletPointChar">
    <w:name w:val="Body of text – Bullet Point Char"/>
    <w:basedOn w:val="DefaultParagraphFont"/>
    <w:link w:val="BodyoftextBulletPoint"/>
    <w:rsid w:val="00931769"/>
  </w:style>
  <w:style w:type="paragraph" w:customStyle="1" w:styleId="BodyofTextBulletpoint3rdlevel">
    <w:name w:val="Body of Text – Bullet point (3rd level)"/>
    <w:basedOn w:val="BodyoftextBulletPoint"/>
    <w:qFormat/>
    <w:rsid w:val="00931769"/>
    <w:pPr>
      <w:numPr>
        <w:numId w:val="12"/>
      </w:numPr>
    </w:pPr>
  </w:style>
  <w:style w:type="paragraph" w:customStyle="1" w:styleId="BodyofTextBulletpoint2ndlevel">
    <w:name w:val="Body of Text – Bullet point (2nd level)"/>
    <w:basedOn w:val="BodyoftextBulletPoint"/>
    <w:link w:val="BodyofTextBulletpoint2ndlevelChar"/>
    <w:qFormat/>
    <w:rsid w:val="00931769"/>
    <w:pPr>
      <w:numPr>
        <w:numId w:val="13"/>
      </w:numPr>
    </w:pPr>
  </w:style>
  <w:style w:type="character" w:customStyle="1" w:styleId="BodyofTextBulletpoint2ndlevelChar">
    <w:name w:val="Body of Text – Bullet point (2nd level) Char"/>
    <w:basedOn w:val="BodyoftextBulletPointChar"/>
    <w:link w:val="BodyofTextBulletpoint2ndlevel"/>
    <w:rsid w:val="00931769"/>
  </w:style>
  <w:style w:type="character" w:customStyle="1" w:styleId="Documenttextunderlined">
    <w:name w:val="Document text underlined"/>
    <w:basedOn w:val="DefaultParagraphFont"/>
    <w:uiPriority w:val="1"/>
    <w:qFormat/>
    <w:rsid w:val="00931769"/>
    <w:rPr>
      <w:rFonts w:ascii="Arial" w:hAnsi="Arial"/>
      <w:sz w:val="18"/>
      <w:u w:val="single"/>
    </w:rPr>
  </w:style>
  <w:style w:type="character" w:customStyle="1" w:styleId="DocumentTextItalics">
    <w:name w:val="Document Text Italics"/>
    <w:basedOn w:val="DefaultParagraphFont"/>
    <w:uiPriority w:val="1"/>
    <w:qFormat/>
    <w:rsid w:val="00931769"/>
    <w:rPr>
      <w:rFonts w:ascii="Arial" w:hAnsi="Arial"/>
      <w:i/>
    </w:rPr>
  </w:style>
  <w:style w:type="character" w:customStyle="1" w:styleId="DocumentTextbody">
    <w:name w:val="Document Text (body)"/>
    <w:basedOn w:val="DefaultParagraphFont"/>
    <w:uiPriority w:val="1"/>
    <w:qFormat/>
    <w:rsid w:val="00931769"/>
    <w:rPr>
      <w:color w:val="auto"/>
    </w:rPr>
  </w:style>
  <w:style w:type="character" w:customStyle="1" w:styleId="DocumentTextGreenBold">
    <w:name w:val="Document Text Green Bold"/>
    <w:basedOn w:val="DefaultParagraphFont"/>
    <w:uiPriority w:val="1"/>
    <w:qFormat/>
    <w:rsid w:val="00931769"/>
    <w:rPr>
      <w:b/>
      <w:color w:val="8DC63F" w:themeColor="text2"/>
    </w:rPr>
  </w:style>
  <w:style w:type="character" w:customStyle="1" w:styleId="DocumentTextBlackBold">
    <w:name w:val="Document Text Black Bold"/>
    <w:basedOn w:val="DefaultParagraphFont"/>
    <w:uiPriority w:val="1"/>
    <w:qFormat/>
    <w:rsid w:val="00931769"/>
    <w:rPr>
      <w:b/>
    </w:rPr>
  </w:style>
  <w:style w:type="character" w:customStyle="1" w:styleId="DocumentSuperscript">
    <w:name w:val="Document Superscript"/>
    <w:basedOn w:val="DocumentTextbody"/>
    <w:uiPriority w:val="1"/>
    <w:qFormat/>
    <w:rsid w:val="00931769"/>
    <w:rPr>
      <w:rFonts w:ascii="Arial" w:hAnsi="Arial"/>
      <w:sz w:val="18"/>
      <w:vertAlign w:val="superscript"/>
    </w:rPr>
  </w:style>
  <w:style w:type="character" w:customStyle="1" w:styleId="DocumentSubscript">
    <w:name w:val="Document Subscript"/>
    <w:basedOn w:val="DocumentTextbody"/>
    <w:uiPriority w:val="1"/>
    <w:qFormat/>
    <w:rsid w:val="00931769"/>
    <w:rPr>
      <w:rFonts w:ascii="Arial" w:hAnsi="Arial"/>
      <w:sz w:val="18"/>
      <w:vertAlign w:val="subscript"/>
    </w:rPr>
  </w:style>
  <w:style w:type="character" w:customStyle="1" w:styleId="Pagenumber">
    <w:name w:val="Page number"/>
    <w:basedOn w:val="DefaultParagraphFont"/>
    <w:uiPriority w:val="1"/>
    <w:qFormat/>
    <w:rsid w:val="00931769"/>
    <w:rPr>
      <w:b/>
    </w:rPr>
  </w:style>
  <w:style w:type="character" w:customStyle="1" w:styleId="Dateissued">
    <w:name w:val="Date issued"/>
    <w:basedOn w:val="DefaultParagraphFont"/>
    <w:uiPriority w:val="1"/>
    <w:qFormat/>
    <w:rsid w:val="00931769"/>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931769"/>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autoRedefine/>
    <w:qFormat/>
    <w:rsid w:val="00931769"/>
    <w:pPr>
      <w:numPr>
        <w:numId w:val="21"/>
      </w:numPr>
    </w:pPr>
    <w:rPr>
      <w:rFonts w:asciiTheme="minorHAnsi" w:hAnsiTheme="minorHAnsi"/>
    </w:rPr>
  </w:style>
  <w:style w:type="paragraph" w:styleId="ListParagraph">
    <w:name w:val="List Paragraph"/>
    <w:aliases w:val="Body of text - Bullet point"/>
    <w:basedOn w:val="Normal"/>
    <w:link w:val="ListParagraphChar"/>
    <w:uiPriority w:val="3"/>
    <w:qFormat/>
    <w:rsid w:val="00931769"/>
    <w:pPr>
      <w:numPr>
        <w:numId w:val="19"/>
      </w:numPr>
    </w:pPr>
  </w:style>
  <w:style w:type="character" w:customStyle="1" w:styleId="ListParagraphChar">
    <w:name w:val="List Paragraph Char"/>
    <w:aliases w:val="Body of text - Bullet point Char"/>
    <w:basedOn w:val="DefaultParagraphFont"/>
    <w:link w:val="ListParagraph"/>
    <w:uiPriority w:val="3"/>
    <w:rsid w:val="00931769"/>
  </w:style>
  <w:style w:type="paragraph" w:customStyle="1" w:styleId="HeadingSimilarStyle">
    <w:name w:val="Heading Similar Style"/>
    <w:basedOn w:val="Normal"/>
    <w:link w:val="HeadingSimilarStyleChar"/>
    <w:qFormat/>
    <w:rsid w:val="00931769"/>
    <w:pPr>
      <w:numPr>
        <w:ilvl w:val="1"/>
        <w:numId w:val="20"/>
      </w:numPr>
    </w:pPr>
    <w:rPr>
      <w:b/>
      <w:color w:val="00B3F0"/>
    </w:rPr>
  </w:style>
  <w:style w:type="character" w:customStyle="1" w:styleId="HeadingSimilarStyleChar">
    <w:name w:val="Heading Similar Style Char"/>
    <w:basedOn w:val="DefaultParagraphFont"/>
    <w:link w:val="HeadingSimilarStyle"/>
    <w:rsid w:val="00931769"/>
    <w:rPr>
      <w:b/>
      <w:color w:val="00B3F0"/>
    </w:rPr>
  </w:style>
  <w:style w:type="paragraph" w:styleId="Caption">
    <w:name w:val="caption"/>
    <w:basedOn w:val="Normal"/>
    <w:next w:val="Normal"/>
    <w:uiPriority w:val="35"/>
    <w:unhideWhenUsed/>
    <w:qFormat/>
    <w:rsid w:val="00F00E31"/>
    <w:pPr>
      <w:spacing w:line="240" w:lineRule="auto"/>
    </w:pPr>
    <w:rPr>
      <w:b/>
      <w:bCs/>
      <w:color w:val="84C447" w:themeColor="accent1"/>
      <w:sz w:val="18"/>
      <w:szCs w:val="18"/>
    </w:rPr>
  </w:style>
  <w:style w:type="paragraph" w:customStyle="1" w:styleId="GBCAHeading4ListNumberLevel2">
    <w:name w:val="GBCA Heading 4 (List Number Level 2)"/>
    <w:basedOn w:val="Heading4"/>
    <w:rsid w:val="00F713F5"/>
    <w:pPr>
      <w:keepNext w:val="0"/>
      <w:keepLines w:val="0"/>
      <w:spacing w:before="120" w:line="240" w:lineRule="auto"/>
      <w:ind w:left="360" w:hanging="360"/>
    </w:pPr>
    <w:rPr>
      <w:rFonts w:eastAsia="Times New Roman" w:cs="Times New Roman"/>
      <w:bCs w:val="0"/>
      <w:iCs w:val="0"/>
      <w:caps/>
      <w:color w:val="00B3F0"/>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296DF3A89343428BDEEC35E8399551"/>
        <w:category>
          <w:name w:val="General"/>
          <w:gallery w:val="placeholder"/>
        </w:category>
        <w:types>
          <w:type w:val="bbPlcHdr"/>
        </w:types>
        <w:behaviors>
          <w:behavior w:val="content"/>
        </w:behaviors>
        <w:guid w:val="{31FA6DAF-6F69-4212-B9F7-16AED71C4B06}"/>
      </w:docPartPr>
      <w:docPartBody>
        <w:p w:rsidR="00F05FFF" w:rsidRDefault="00F05FFF" w:rsidP="00F05FFF">
          <w:pPr>
            <w:pStyle w:val="31296DF3A89343428BDEEC35E8399551"/>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090664"/>
    <w:rsid w:val="00104B2E"/>
    <w:rsid w:val="00267020"/>
    <w:rsid w:val="00367370"/>
    <w:rsid w:val="00552614"/>
    <w:rsid w:val="00560C7B"/>
    <w:rsid w:val="005E3B34"/>
    <w:rsid w:val="00625C95"/>
    <w:rsid w:val="0066612D"/>
    <w:rsid w:val="00677127"/>
    <w:rsid w:val="009F349B"/>
    <w:rsid w:val="00A02461"/>
    <w:rsid w:val="00AF4D68"/>
    <w:rsid w:val="00B220FA"/>
    <w:rsid w:val="00B8136E"/>
    <w:rsid w:val="00B91AB4"/>
    <w:rsid w:val="00BA4F22"/>
    <w:rsid w:val="00C377D0"/>
    <w:rsid w:val="00DF06EB"/>
    <w:rsid w:val="00EE5FE5"/>
    <w:rsid w:val="00F05FFF"/>
    <w:rsid w:val="00F9037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FFF"/>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 w:type="paragraph" w:customStyle="1" w:styleId="73473E13FD0F49A5A20B35A7EAB4AFC2">
    <w:name w:val="73473E13FD0F49A5A20B35A7EAB4AFC2"/>
    <w:rsid w:val="00F05FFF"/>
  </w:style>
  <w:style w:type="paragraph" w:customStyle="1" w:styleId="31296DF3A89343428BDEEC35E8399551">
    <w:name w:val="31296DF3A89343428BDEEC35E8399551"/>
    <w:rsid w:val="00F05F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A3090-024C-400A-9209-B1F517C4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emonavari</cp:lastModifiedBy>
  <cp:revision>4</cp:revision>
  <dcterms:created xsi:type="dcterms:W3CDTF">2013-10-28T00:56:00Z</dcterms:created>
  <dcterms:modified xsi:type="dcterms:W3CDTF">2013-11-04T04:54:00Z</dcterms:modified>
</cp:coreProperties>
</file>